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15FDE" w14:textId="69743B2A" w:rsidR="00BA7816" w:rsidRDefault="00000000">
      <w:pPr>
        <w:spacing w:after="0" w:line="360" w:lineRule="auto"/>
        <w:jc w:val="center"/>
      </w:pPr>
      <w:r>
        <w:rPr>
          <w:rFonts w:ascii="Arial Narrow" w:hAnsi="Arial Narrow"/>
        </w:rPr>
        <w:t>Acta de Sesión del Tribunal Calificador de Elecciones TRICE</w:t>
      </w:r>
      <w:r w:rsidR="00110EF2">
        <w:rPr>
          <w:rFonts w:ascii="Arial Narrow" w:hAnsi="Arial Narrow"/>
        </w:rPr>
        <w:t>L</w:t>
      </w:r>
      <w:r>
        <w:rPr>
          <w:rFonts w:ascii="Arial Narrow" w:hAnsi="Arial Narrow"/>
        </w:rPr>
        <w:br/>
        <w:t>Proceso De Elección De La Comisión Triestamental</w:t>
      </w:r>
    </w:p>
    <w:p w14:paraId="452A990A" w14:textId="77777777" w:rsidR="00265141" w:rsidRDefault="00265141">
      <w:pPr>
        <w:spacing w:before="100" w:after="100" w:line="240" w:lineRule="auto"/>
        <w:rPr>
          <w:rFonts w:ascii="Arial Narrow" w:hAnsi="Arial Narrow"/>
        </w:rPr>
      </w:pPr>
    </w:p>
    <w:p w14:paraId="086798CD" w14:textId="6F5C5B61" w:rsidR="00BA7816" w:rsidRDefault="00000000">
      <w:pPr>
        <w:spacing w:before="100" w:after="100" w:line="240" w:lineRule="auto"/>
      </w:pPr>
      <w:r>
        <w:rPr>
          <w:rFonts w:ascii="Arial Narrow" w:hAnsi="Arial Narrow"/>
        </w:rPr>
        <w:t>Número de sesión: 5.</w:t>
      </w:r>
    </w:p>
    <w:p w14:paraId="095D9916" w14:textId="77777777" w:rsidR="00BA7816" w:rsidRDefault="00000000">
      <w:pPr>
        <w:spacing w:before="100" w:after="100" w:line="240" w:lineRule="auto"/>
      </w:pPr>
      <w:r>
        <w:rPr>
          <w:rFonts w:ascii="Arial Narrow" w:hAnsi="Arial Narrow"/>
        </w:rPr>
        <w:t>Tipo de sesión: ordinaria.</w:t>
      </w:r>
    </w:p>
    <w:p w14:paraId="66C6A5B3" w14:textId="77777777" w:rsidR="00BA7816" w:rsidRDefault="00000000">
      <w:pPr>
        <w:spacing w:before="100" w:after="100" w:line="240" w:lineRule="auto"/>
      </w:pPr>
      <w:r>
        <w:rPr>
          <w:rFonts w:ascii="Arial Narrow" w:hAnsi="Arial Narrow"/>
        </w:rPr>
        <w:t>Fecha: 13 de agosto de 2026.</w:t>
      </w:r>
    </w:p>
    <w:p w14:paraId="6DCFB385" w14:textId="77777777" w:rsidR="00BA7816" w:rsidRDefault="00000000">
      <w:pPr>
        <w:spacing w:before="100" w:after="100" w:line="240" w:lineRule="auto"/>
      </w:pPr>
      <w:r>
        <w:rPr>
          <w:rFonts w:ascii="Arial Narrow" w:hAnsi="Arial Narrow"/>
        </w:rPr>
        <w:t>Lugar: Sala de Consejo de Rectoría.</w:t>
      </w:r>
    </w:p>
    <w:p w14:paraId="5426D9F2" w14:textId="77777777" w:rsidR="00BA7816" w:rsidRDefault="00000000">
      <w:pPr>
        <w:spacing w:before="100" w:after="100" w:line="240" w:lineRule="auto"/>
      </w:pPr>
      <w:r>
        <w:rPr>
          <w:rFonts w:ascii="Arial Narrow" w:hAnsi="Arial Narrow"/>
        </w:rPr>
        <w:t>Hora de inicio: 11:20 horas.</w:t>
      </w:r>
    </w:p>
    <w:p w14:paraId="7183F0A7" w14:textId="77777777" w:rsidR="00BA7816" w:rsidRDefault="00000000">
      <w:pPr>
        <w:spacing w:before="100" w:after="100" w:line="240" w:lineRule="auto"/>
      </w:pPr>
      <w:r>
        <w:rPr>
          <w:rFonts w:ascii="Arial Narrow" w:hAnsi="Arial Narrow"/>
        </w:rPr>
        <w:t>Hora de término: 12:40 horas.</w:t>
      </w:r>
    </w:p>
    <w:p w14:paraId="6822BF03" w14:textId="77777777" w:rsidR="00265141" w:rsidRDefault="00265141">
      <w:pPr>
        <w:spacing w:before="100" w:after="100" w:line="240" w:lineRule="auto"/>
        <w:rPr>
          <w:rFonts w:ascii="Arial Narrow" w:hAnsi="Arial Narrow"/>
        </w:rPr>
      </w:pPr>
    </w:p>
    <w:p w14:paraId="57696329" w14:textId="77777777" w:rsidR="00265141" w:rsidRDefault="00265141">
      <w:pPr>
        <w:spacing w:before="100" w:after="100" w:line="240" w:lineRule="auto"/>
        <w:rPr>
          <w:rFonts w:ascii="Arial Narrow" w:hAnsi="Arial Narrow"/>
        </w:rPr>
      </w:pPr>
    </w:p>
    <w:p w14:paraId="6DB42B67" w14:textId="1806C968" w:rsidR="00BA7816" w:rsidRDefault="00000000">
      <w:pPr>
        <w:spacing w:before="100" w:after="100" w:line="240" w:lineRule="auto"/>
      </w:pPr>
      <w:r>
        <w:rPr>
          <w:rFonts w:ascii="Arial Narrow" w:hAnsi="Arial Narrow"/>
        </w:rPr>
        <w:t>Integrantes asistentes:</w:t>
      </w:r>
    </w:p>
    <w:p w14:paraId="33F20E79" w14:textId="77777777" w:rsidR="00BA7816" w:rsidRDefault="00000000">
      <w:pPr>
        <w:pStyle w:val="Prrafodelista"/>
        <w:spacing w:before="100" w:after="100" w:line="240" w:lineRule="auto"/>
      </w:pPr>
      <w:r>
        <w:rPr>
          <w:rFonts w:ascii="Arial Narrow" w:hAnsi="Arial Narrow"/>
        </w:rPr>
        <w:t>-    Christian Arnoldo Vergara Ojeda, representante titular del estamento académico.</w:t>
      </w:r>
    </w:p>
    <w:p w14:paraId="6821FBC4" w14:textId="77777777" w:rsidR="00BA7816" w:rsidRDefault="00000000">
      <w:pPr>
        <w:pStyle w:val="Prrafodelista"/>
        <w:spacing w:before="100" w:after="100" w:line="240" w:lineRule="auto"/>
      </w:pPr>
      <w:r>
        <w:rPr>
          <w:rFonts w:ascii="Arial Narrow" w:hAnsi="Arial Narrow"/>
        </w:rPr>
        <w:t>-    Andrés Eduardo Sáez Geoffroy, representante titular del estamento académico.</w:t>
      </w:r>
    </w:p>
    <w:p w14:paraId="7AC476CD" w14:textId="77777777" w:rsidR="00BA7816" w:rsidRDefault="00000000">
      <w:pPr>
        <w:pStyle w:val="Prrafodelista"/>
        <w:spacing w:before="100" w:after="100" w:line="240" w:lineRule="auto"/>
      </w:pPr>
      <w:r>
        <w:rPr>
          <w:rFonts w:ascii="Arial Narrow" w:hAnsi="Arial Narrow"/>
        </w:rPr>
        <w:t>-    Jaime Andrés Tijmes Ihl, representante titular del estamento académico.</w:t>
      </w:r>
    </w:p>
    <w:p w14:paraId="5E0E8630" w14:textId="77777777" w:rsidR="00BA7816" w:rsidRDefault="00000000">
      <w:pPr>
        <w:pStyle w:val="Prrafodelista"/>
        <w:spacing w:before="100" w:after="100" w:line="240" w:lineRule="auto"/>
      </w:pPr>
      <w:r>
        <w:rPr>
          <w:rFonts w:ascii="Arial Narrow" w:hAnsi="Arial Narrow"/>
        </w:rPr>
        <w:t>-    Elsa Ximena Vera Sepúlveda, representante titular del estamento administrativo.</w:t>
      </w:r>
    </w:p>
    <w:p w14:paraId="6E3ED90B" w14:textId="77777777" w:rsidR="00BA7816" w:rsidRDefault="00000000">
      <w:pPr>
        <w:pStyle w:val="Prrafodelista"/>
        <w:spacing w:before="100" w:after="100" w:line="240" w:lineRule="auto"/>
      </w:pPr>
      <w:r>
        <w:rPr>
          <w:rFonts w:ascii="Arial Narrow" w:hAnsi="Arial Narrow"/>
        </w:rPr>
        <w:t>-    Paula Belén Floody Flores, representante titular del estamento administrativo.</w:t>
      </w:r>
    </w:p>
    <w:p w14:paraId="7C1973A1" w14:textId="77777777" w:rsidR="00BA7816" w:rsidRDefault="00000000">
      <w:pPr>
        <w:pStyle w:val="Prrafodelista"/>
        <w:spacing w:before="100" w:after="100" w:line="240" w:lineRule="auto"/>
      </w:pPr>
      <w:r>
        <w:rPr>
          <w:rFonts w:ascii="Arial Narrow" w:hAnsi="Arial Narrow"/>
        </w:rPr>
        <w:t>-    Servando Ulises Contreras Illanes, representante titular del estamento administrativo.</w:t>
      </w:r>
    </w:p>
    <w:p w14:paraId="7775D242" w14:textId="77777777" w:rsidR="00BA7816" w:rsidRDefault="00000000">
      <w:pPr>
        <w:pStyle w:val="Prrafodelista"/>
        <w:spacing w:before="100" w:after="100" w:line="240" w:lineRule="auto"/>
      </w:pPr>
      <w:r>
        <w:rPr>
          <w:rFonts w:ascii="Arial Narrow" w:hAnsi="Arial Narrow"/>
        </w:rPr>
        <w:t>-    Lorena Paz Espinoza Arévalo, representante suplente del estamento administrativo.</w:t>
      </w:r>
    </w:p>
    <w:p w14:paraId="7E102808" w14:textId="77777777" w:rsidR="00BA7816" w:rsidRDefault="00000000">
      <w:pPr>
        <w:pStyle w:val="Prrafodelista"/>
        <w:spacing w:before="100" w:after="100" w:line="240" w:lineRule="auto"/>
        <w:rPr>
          <w:rFonts w:ascii="Arial Narrow" w:hAnsi="Arial Narrow"/>
        </w:rPr>
      </w:pPr>
      <w:r>
        <w:rPr>
          <w:rFonts w:ascii="Arial Narrow" w:hAnsi="Arial Narrow"/>
        </w:rPr>
        <w:t>-    Paulina Constanza Martínez Rodríguez, representante titular del estamento estudiantil.</w:t>
      </w:r>
    </w:p>
    <w:p w14:paraId="3799AD6D" w14:textId="6B5ED83C" w:rsidR="002B63D0" w:rsidRDefault="002B63D0">
      <w:pPr>
        <w:pStyle w:val="Prrafodelista"/>
        <w:spacing w:before="100" w:after="100" w:line="240" w:lineRule="auto"/>
      </w:pPr>
      <w:r>
        <w:rPr>
          <w:rFonts w:ascii="Arial Narrow" w:hAnsi="Arial Narrow"/>
        </w:rPr>
        <w:t>-</w:t>
      </w:r>
      <w:r w:rsidRPr="002B63D0">
        <w:rPr>
          <w:rFonts w:ascii="Arial Narrow" w:hAnsi="Arial Narrow"/>
        </w:rPr>
        <w:t xml:space="preserve"> </w:t>
      </w:r>
      <w:r>
        <w:rPr>
          <w:rFonts w:ascii="Arial Narrow" w:hAnsi="Arial Narrow"/>
        </w:rPr>
        <w:t>Cristian Aguilera Rossi, representante  suplente estamento académico</w:t>
      </w:r>
    </w:p>
    <w:p w14:paraId="4CDCB710" w14:textId="466BD891" w:rsidR="00BA7816" w:rsidRDefault="00000000">
      <w:pPr>
        <w:spacing w:before="100" w:after="100" w:line="240" w:lineRule="auto"/>
      </w:pPr>
      <w:r>
        <w:rPr>
          <w:rFonts w:ascii="Arial Narrow" w:hAnsi="Arial Narrow"/>
        </w:rPr>
        <w:t>Inasistencias</w:t>
      </w:r>
      <w:r w:rsidR="003C51E1">
        <w:rPr>
          <w:rFonts w:ascii="Arial Narrow" w:hAnsi="Arial Narrow"/>
        </w:rPr>
        <w:t xml:space="preserve"> justificadas</w:t>
      </w:r>
      <w:r>
        <w:rPr>
          <w:rFonts w:ascii="Arial Narrow" w:hAnsi="Arial Narrow"/>
        </w:rPr>
        <w:t>:</w:t>
      </w:r>
    </w:p>
    <w:p w14:paraId="4A67B9E7" w14:textId="77777777" w:rsidR="00BA7816" w:rsidRDefault="00000000">
      <w:pPr>
        <w:pStyle w:val="Prrafodelista"/>
        <w:spacing w:before="100" w:after="100" w:line="240" w:lineRule="auto"/>
      </w:pPr>
      <w:r>
        <w:rPr>
          <w:rFonts w:ascii="Arial Narrow" w:hAnsi="Arial Narrow"/>
        </w:rPr>
        <w:t>-    Rayen Millaray Mellado Godoy, representante titular del estamento estudiantil.</w:t>
      </w:r>
    </w:p>
    <w:p w14:paraId="0853ABA3" w14:textId="77777777" w:rsidR="00BA7816" w:rsidRDefault="00000000">
      <w:pPr>
        <w:pStyle w:val="Prrafodelista"/>
        <w:spacing w:before="100" w:after="100" w:line="240" w:lineRule="auto"/>
      </w:pPr>
      <w:r>
        <w:rPr>
          <w:rFonts w:ascii="Arial Narrow" w:hAnsi="Arial Narrow"/>
        </w:rPr>
        <w:t>-    Francisco Zavala Cárdenas, representante titular del estamento estudiantil.</w:t>
      </w:r>
    </w:p>
    <w:p w14:paraId="0CEC4217" w14:textId="77777777" w:rsidR="00BA7816" w:rsidRDefault="00000000">
      <w:pPr>
        <w:pStyle w:val="Prrafodelista"/>
        <w:spacing w:before="100" w:after="100" w:line="240" w:lineRule="auto"/>
      </w:pPr>
      <w:r>
        <w:rPr>
          <w:rFonts w:ascii="Arial Narrow" w:hAnsi="Arial Narrow"/>
        </w:rPr>
        <w:t>-    Yarella Nikol Sánchez Morales, representante suplente del estamento estudiantil.</w:t>
      </w:r>
    </w:p>
    <w:p w14:paraId="29347859" w14:textId="23332571" w:rsidR="00BA7816" w:rsidRDefault="00000000" w:rsidP="003C51E1">
      <w:pPr>
        <w:spacing w:before="100" w:after="100" w:line="240" w:lineRule="auto"/>
        <w:rPr>
          <w:rFonts w:ascii="Arial Narrow" w:hAnsi="Arial Narrow"/>
        </w:rPr>
      </w:pPr>
      <w:r>
        <w:rPr>
          <w:rFonts w:ascii="Arial Narrow" w:hAnsi="Arial Narrow"/>
        </w:rPr>
        <w:t>Asisten adicionalmente</w:t>
      </w:r>
      <w:r w:rsidR="003C51E1">
        <w:rPr>
          <w:rFonts w:ascii="Arial Narrow" w:hAnsi="Arial Narrow"/>
        </w:rPr>
        <w:t>:</w:t>
      </w:r>
    </w:p>
    <w:p w14:paraId="4B6841B0" w14:textId="4E025FC0" w:rsidR="00820EA9" w:rsidRDefault="00820EA9" w:rsidP="00820EA9">
      <w:pPr>
        <w:pStyle w:val="Prrafodelista"/>
        <w:spacing w:before="100" w:after="100" w:line="240" w:lineRule="auto"/>
      </w:pPr>
      <w:r>
        <w:rPr>
          <w:rFonts w:ascii="Arial Narrow" w:hAnsi="Arial Narrow"/>
        </w:rPr>
        <w:t>-    Juan Carlos Guajardo Puga, Secretario General de la Universidad de La Frontera, en calidad de ministro de fe del TRICEL.</w:t>
      </w:r>
    </w:p>
    <w:p w14:paraId="5CF9C88B" w14:textId="77777777" w:rsidR="00BA7816" w:rsidRDefault="00000000">
      <w:pPr>
        <w:pStyle w:val="Prrafodelista"/>
        <w:spacing w:before="100" w:after="100" w:line="240" w:lineRule="auto"/>
      </w:pPr>
      <w:r>
        <w:rPr>
          <w:rFonts w:ascii="Arial Narrow" w:hAnsi="Arial Narrow"/>
        </w:rPr>
        <w:t>-    Johanna Gatica, profesional de apoyo administrativo y técnico del proceso electoral electrónico.</w:t>
      </w:r>
    </w:p>
    <w:p w14:paraId="758F7102" w14:textId="77777777" w:rsidR="00BA7816" w:rsidRDefault="00000000">
      <w:pPr>
        <w:pStyle w:val="Prrafodelista"/>
        <w:spacing w:before="100" w:after="100" w:line="240" w:lineRule="auto"/>
      </w:pPr>
      <w:r>
        <w:rPr>
          <w:rFonts w:ascii="Arial Narrow" w:hAnsi="Arial Narrow"/>
        </w:rPr>
        <w:t>-    Carolina Iglesias, representante de la Dirección de Equidad de Género, quien participa durante el punto relativo a la aplicación de la regla de equilibrio de género.</w:t>
      </w:r>
    </w:p>
    <w:p w14:paraId="1AEF44E0" w14:textId="77777777" w:rsidR="00BA7816" w:rsidRDefault="00BA7816">
      <w:pPr>
        <w:spacing w:before="100" w:after="100" w:line="240" w:lineRule="auto"/>
      </w:pPr>
    </w:p>
    <w:p w14:paraId="68321579" w14:textId="77777777" w:rsidR="00BA7816" w:rsidRDefault="00000000">
      <w:pPr>
        <w:spacing w:before="100" w:after="100" w:line="240" w:lineRule="auto"/>
        <w:jc w:val="both"/>
      </w:pPr>
      <w:r>
        <w:rPr>
          <w:rFonts w:ascii="Arial Narrow" w:hAnsi="Arial Narrow"/>
        </w:rPr>
        <w:t>En Temuco, a 13 de agosto de 2026, siendo las 11:20 horas, se reúne en sesión ordinaria el Tribunal Calificador de Elecciones (TRICEL), formalizado mediante Resolución Exenta N°1582, de 2026. Se verifica la existencia de quórum suficiente para sesionar.</w:t>
      </w:r>
    </w:p>
    <w:p w14:paraId="646EA376" w14:textId="77777777" w:rsidR="00BA7816" w:rsidRDefault="00000000">
      <w:pPr>
        <w:spacing w:before="100" w:after="100" w:line="240" w:lineRule="auto"/>
        <w:jc w:val="both"/>
      </w:pPr>
      <w:r>
        <w:rPr>
          <w:rFonts w:ascii="Arial Narrow" w:hAnsi="Arial Narrow"/>
        </w:rPr>
        <w:t>Preside la sesión don Andrés Eduardo Sáez Geoffroy, Presidente del TRICEL. Actúa como ministro de fe don Juan Carlos Guajardo Puga, Secretario General de la Universidad de La Frontera.</w:t>
      </w:r>
    </w:p>
    <w:p w14:paraId="0381E446" w14:textId="77777777" w:rsidR="00BA7816" w:rsidRDefault="00000000">
      <w:pPr>
        <w:spacing w:before="100" w:after="100" w:line="240" w:lineRule="auto"/>
        <w:jc w:val="both"/>
      </w:pPr>
      <w:r>
        <w:rPr>
          <w:rFonts w:ascii="Arial Narrow" w:hAnsi="Arial Narrow"/>
        </w:rPr>
        <w:t xml:space="preserve">El Presidente informa que la tabla comprende la revisión del estado de las actas anteriores; una conversación con la Dirección de Equidad de Género respecto de la aplicación de la regla de </w:t>
      </w:r>
      <w:r>
        <w:rPr>
          <w:rFonts w:ascii="Arial Narrow" w:hAnsi="Arial Narrow"/>
        </w:rPr>
        <w:lastRenderedPageBreak/>
        <w:t>equilibrio de género; la revisión y ajuste del calendario y de los padrones electorales; la coordinación del plan comunicacional del proceso; y la planificación de las tareas de las semanas siguientes.</w:t>
      </w:r>
    </w:p>
    <w:p w14:paraId="291F1551" w14:textId="77777777" w:rsidR="00BA7816" w:rsidRDefault="00000000">
      <w:pPr>
        <w:spacing w:before="100" w:after="100" w:line="240" w:lineRule="auto"/>
        <w:jc w:val="both"/>
      </w:pPr>
      <w:r>
        <w:rPr>
          <w:rFonts w:ascii="Arial Narrow" w:hAnsi="Arial Narrow"/>
        </w:rPr>
        <w:t>En relación con las actas anteriores, se deja constancia de que el acta de la sesión N°3 había sido remitida previamente para revisión. Durante la sesión se señala la necesidad de incorporar los nombres de las personas de la Dirección de Informática que participaron en dicha reunión. Efectuada esa precisión y no existiendo observaciones de fondo, las y los integrantes presentes manifiestan su aprobación, quedando aprobada el acta de la sesión N°3.</w:t>
      </w:r>
    </w:p>
    <w:p w14:paraId="28818DA2" w14:textId="77777777" w:rsidR="00BA7816" w:rsidRDefault="00000000">
      <w:pPr>
        <w:spacing w:before="100" w:after="100" w:line="240" w:lineRule="auto"/>
        <w:jc w:val="both"/>
      </w:pPr>
      <w:r>
        <w:rPr>
          <w:rFonts w:ascii="Arial Narrow" w:hAnsi="Arial Narrow"/>
        </w:rPr>
        <w:t>A continuación, se recibe a doña Carolina Iglesias, representante de la Dirección de Equidad de Género, con el objeto de abordar las dudas surgidas en sesiones anteriores respecto de la aplicación de la regla de equilibrio de género prevista para la integración de la Comisión Triestamental, particularmente frente a la eventual elección de personas que se identifiquen con una categoría de género distinta de hombre o mujer.</w:t>
      </w:r>
    </w:p>
    <w:p w14:paraId="0D234517" w14:textId="77777777" w:rsidR="00BA7816" w:rsidRDefault="00000000">
      <w:pPr>
        <w:spacing w:before="100" w:after="100" w:line="240" w:lineRule="auto"/>
        <w:jc w:val="both"/>
      </w:pPr>
      <w:r>
        <w:rPr>
          <w:rFonts w:ascii="Arial Narrow" w:hAnsi="Arial Narrow"/>
        </w:rPr>
        <w:t>Durante la conversación se hace presente que una persona no debe ser obligada a adscribirse a una categoría de género que no corresponda a su identidad. Se señala asimismo que, para la aplicación de la regla de equilibrio, deben considerarse las definiciones y lineamientos institucionales vigentes en materia de identidad de género, así como los criterios interpretativos emanados de la Superintendencia de Educación Superior.</w:t>
      </w:r>
    </w:p>
    <w:p w14:paraId="1D1E308A" w14:textId="77777777" w:rsidR="00BA7816" w:rsidRDefault="00000000">
      <w:pPr>
        <w:spacing w:before="100" w:after="100" w:line="240" w:lineRule="auto"/>
        <w:jc w:val="both"/>
      </w:pPr>
      <w:r>
        <w:rPr>
          <w:rFonts w:ascii="Arial Narrow" w:hAnsi="Arial Narrow"/>
        </w:rPr>
        <w:t>El Tribunal acuerda, como criterio de trabajo, que la regla de equilibrio de género se refiere a las categorías hombre y mujer y que, en caso de resultar electa una persona que se identifique con una categoría distinta, esta no será forzada a ser contabilizada en una de aquellas categorías. La aplicación concreta del equilibrio sobre los restantes cupos deberá efectuarse de manera compatible con dicho criterio.</w:t>
      </w:r>
    </w:p>
    <w:p w14:paraId="2A38E5EA" w14:textId="77777777" w:rsidR="00BA7816" w:rsidRDefault="00000000">
      <w:pPr>
        <w:spacing w:before="100" w:after="100" w:line="240" w:lineRule="auto"/>
        <w:jc w:val="both"/>
      </w:pPr>
      <w:r>
        <w:rPr>
          <w:rFonts w:ascii="Arial Narrow" w:hAnsi="Arial Narrow"/>
        </w:rPr>
        <w:t>Se debate la forma en que el TRICEL podría contar con la información necesaria para aplicar la regla de equilibrio de género al momento de validar las candidaturas y los resultados, especialmente respecto de la posibilidad de incorporar en la inscripción una manifestación voluntaria de género. Atendidas las distintas posiciones planteadas y la necesidad de contar con certeza jurídica, se acuerda formular una consulta a Contraloría Universitaria sobre el mecanismo institucionalmente procedente para obtener y utilizar dicha información en el proceso electoral. La representante de la Dirección de Equidad de Género se compromete, además, a remitir al correo institucional del TRICEL los antecedentes normativos y circulares que puedan servir de apoyo para esta materia.</w:t>
      </w:r>
    </w:p>
    <w:p w14:paraId="63D91C4B" w14:textId="77777777" w:rsidR="00BA7816" w:rsidRDefault="00000000">
      <w:pPr>
        <w:spacing w:before="100" w:after="100" w:line="240" w:lineRule="auto"/>
        <w:jc w:val="both"/>
      </w:pPr>
      <w:r>
        <w:rPr>
          <w:rFonts w:ascii="Arial Narrow" w:hAnsi="Arial Narrow"/>
        </w:rPr>
        <w:t>Finalizada esta exposición, el Tribunal retoma la revisión del calendario y del estado de los padrones electorales. Se informa que la nómina correspondiente al estamento estudiantil aún no se encuentra disponible, atendido que se encuentra en desarrollo el proceso institucional de matrícula. Se estima que dicho antecedente podrá obtenerse durante la semana siguiente, por lo que deberán ajustarse los hitos del calendario que dependan materialmente de su disponibilidad.</w:t>
      </w:r>
    </w:p>
    <w:p w14:paraId="1B1F64BB" w14:textId="77777777" w:rsidR="00BA7816" w:rsidRDefault="00000000">
      <w:pPr>
        <w:spacing w:before="100" w:after="100" w:line="240" w:lineRule="auto"/>
        <w:jc w:val="both"/>
      </w:pPr>
      <w:r>
        <w:rPr>
          <w:rFonts w:ascii="Arial Narrow" w:hAnsi="Arial Narrow"/>
        </w:rPr>
        <w:t>Se acuerda mantener, en lo que no resulte afectado por dicha demora, las fechas previamente fijadas para la actualización de antecedentes de la comunidad universitaria. Asimismo, se reafirma que las nóminas que se publiquen en esta etapa tendrán carácter provisional y estarán destinadas a permitir que cada persona revise si se encuentra incorporada y el estamento al cual aparece adscrita.</w:t>
      </w:r>
    </w:p>
    <w:p w14:paraId="1E681A99" w14:textId="77777777" w:rsidR="00BA7816" w:rsidRDefault="00000000">
      <w:pPr>
        <w:spacing w:before="100" w:after="100" w:line="240" w:lineRule="auto"/>
        <w:jc w:val="both"/>
      </w:pPr>
      <w:r>
        <w:rPr>
          <w:rFonts w:ascii="Arial Narrow" w:hAnsi="Arial Narrow"/>
        </w:rPr>
        <w:t>En relación con la publicación de los padrones provisionales de los estamentos académico y administrativo, se deja constancia de que las bases remitidas por las unidades competentes deben ser previamente depuradas para excluir datos personales que no resulten necesarios para la revisión pública. Se acuerda que la información publicada contenga únicamente los antecedentes indispensables para identificar a la persona y el estamento en el que figura.</w:t>
      </w:r>
    </w:p>
    <w:p w14:paraId="1AD1300F" w14:textId="77777777" w:rsidR="00BA7816" w:rsidRDefault="00000000">
      <w:pPr>
        <w:spacing w:before="100" w:after="100" w:line="240" w:lineRule="auto"/>
        <w:jc w:val="both"/>
      </w:pPr>
      <w:r>
        <w:rPr>
          <w:rFonts w:ascii="Arial Narrow" w:hAnsi="Arial Narrow"/>
        </w:rPr>
        <w:lastRenderedPageBreak/>
        <w:t>El Tribunal confirma que las personas interesadas dispondrán de un plazo de cinco días hábiles para formular observaciones o reclamaciones respecto de las nóminas provisionales, de conformidad con el calendario que se comunique. Las situaciones individuales que requieran una revisión especial serán analizadas sobre la base de los antecedentes que proporcionen las unidades institucionales competentes.</w:t>
      </w:r>
    </w:p>
    <w:p w14:paraId="662D6612" w14:textId="77777777" w:rsidR="00BA7816" w:rsidRDefault="00000000">
      <w:pPr>
        <w:spacing w:before="100" w:after="100" w:line="240" w:lineRule="auto"/>
        <w:jc w:val="both"/>
      </w:pPr>
      <w:r>
        <w:rPr>
          <w:rFonts w:ascii="Arial Narrow" w:hAnsi="Arial Narrow"/>
        </w:rPr>
        <w:t>Durante la revisión de las nóminas se plantea una consulta respecto de la adscripción electoral de personas pertenecientes a la planta profesional que desarrollan funciones de naturaleza académica, así como de quienes puedan mantener vínculos contractuales de distinta naturaleza. Se revisan las reglas aplicables y se deja constancia de que, para la confección del padrón, deberá estarse a los criterios establecidos en la normativa del proceso y a la información oficial remitida por las unidades responsables, sin perjuicio de las observaciones que puedan formularse durante el período de revisión del padrón.</w:t>
      </w:r>
    </w:p>
    <w:p w14:paraId="76B1AA56" w14:textId="77777777" w:rsidR="00BA7816" w:rsidRDefault="00000000">
      <w:pPr>
        <w:spacing w:before="100" w:after="100" w:line="240" w:lineRule="auto"/>
        <w:jc w:val="both"/>
      </w:pPr>
      <w:r>
        <w:rPr>
          <w:rFonts w:ascii="Arial Narrow" w:hAnsi="Arial Narrow"/>
        </w:rPr>
        <w:t>A continuación, se revisa la coordinación comunicacional del proceso. Se da cuenta de las dificultades operativas experimentadas durante los días anteriores para la elaboración, visación y envío de comunicaciones masivas, derivadas principalmente de la existencia de distintas etapas de diseño, aprobación y despacho. Con el objeto de evitar nuevas confusiones, el Tribunal acuerda precisar las funciones y canales de trabajo.</w:t>
      </w:r>
    </w:p>
    <w:p w14:paraId="18E0915E" w14:textId="77777777" w:rsidR="00BA7816" w:rsidRDefault="00000000">
      <w:pPr>
        <w:spacing w:before="100" w:after="100" w:line="240" w:lineRule="auto"/>
        <w:jc w:val="both"/>
      </w:pPr>
      <w:r>
        <w:rPr>
          <w:rFonts w:ascii="Arial Narrow" w:hAnsi="Arial Narrow"/>
        </w:rPr>
        <w:t>Se distingue, en primer término, la difusión informativa y educativa del proceso, de carácter multiplataforma, que comprende piezas gráficas, videos, redes sociales, sitio web institucional y otros productos comunicacionales. Esta línea será coordinada con la Dirección de Comunicaciones por doña Lorena Espinoza, quien actuará como enlace del TRICEL y verificará que las propuestas se ajusten a los acuerdos del Tribunal y a la normativa aplicable.</w:t>
      </w:r>
    </w:p>
    <w:p w14:paraId="7A357AD1" w14:textId="77777777" w:rsidR="00BA7816" w:rsidRDefault="00000000">
      <w:pPr>
        <w:spacing w:before="100" w:after="100" w:line="240" w:lineRule="auto"/>
        <w:jc w:val="both"/>
      </w:pPr>
      <w:r>
        <w:rPr>
          <w:rFonts w:ascii="Arial Narrow" w:hAnsi="Arial Narrow"/>
        </w:rPr>
        <w:t>En segundo término, se distinguen las comunicaciones oficiales del TRICEL relativas a hitos, plazos, padrones, candidaturas y demás actuaciones formales del proceso. Se acuerda que su contenido será preparado y revisado por doña Paula Floody y don Christian Vergara, sobre la base de los acuerdos adoptados por el Tribunal, y que su despacho se realizará por medio del correo institucional del TRICEL y los mecanismos institucionales de correo masivo que correspondan.</w:t>
      </w:r>
    </w:p>
    <w:p w14:paraId="70B5A28D" w14:textId="77777777" w:rsidR="00BA7816" w:rsidRDefault="00000000">
      <w:pPr>
        <w:spacing w:before="100" w:after="100" w:line="240" w:lineRule="auto"/>
        <w:jc w:val="both"/>
      </w:pPr>
      <w:r>
        <w:rPr>
          <w:rFonts w:ascii="Arial Narrow" w:hAnsi="Arial Narrow"/>
        </w:rPr>
        <w:t>Se deja constancia de que la Dirección de Comunicaciones prestará apoyo en el diseño y formato de las piezas comunicacionales, sin sustituir al TRICEL en la definición del contenido oficial. Se señala, además, la conveniencia de espaciar razonablemente los envíos masivos y de mantener una programación previa de contenidos, a fin de evitar saturación y facilitar una comunicación permanente durante las distintas etapas del proceso.</w:t>
      </w:r>
    </w:p>
    <w:p w14:paraId="0329FA61" w14:textId="77777777" w:rsidR="00BA7816" w:rsidRDefault="00000000">
      <w:pPr>
        <w:spacing w:before="100" w:after="100" w:line="240" w:lineRule="auto"/>
        <w:jc w:val="both"/>
      </w:pPr>
      <w:r>
        <w:rPr>
          <w:rFonts w:ascii="Arial Narrow" w:hAnsi="Arial Narrow"/>
        </w:rPr>
        <w:t>Se revisa la propuesta de grilla comunicacional preparada para las semanas siguientes, que contempla contenidos destinados a explicar qué es la Comisión Triestamental, quiénes pueden participar, los requisitos para presentar candidaturas, la revisión de padrones, los hitos de campaña y la forma de votar. Se acuerda continuar trabajando sobre dicha grilla y coordinar, cuando corresponda, la participación de integrantes del TRICEL como vocerías para piezas audiovisuales o informativas.</w:t>
      </w:r>
    </w:p>
    <w:p w14:paraId="7C771827" w14:textId="77777777" w:rsidR="00BA7816" w:rsidRDefault="00000000">
      <w:pPr>
        <w:spacing w:before="100" w:after="100" w:line="240" w:lineRule="auto"/>
        <w:jc w:val="both"/>
      </w:pPr>
      <w:r>
        <w:rPr>
          <w:rFonts w:ascii="Arial Narrow" w:hAnsi="Arial Narrow"/>
        </w:rPr>
        <w:t>En relación con la difusión institucional de las candidaturas, se recuerda que corresponde al TRICEL resguardar condiciones de igualdad en el acceso a los medios oficiales que la Universidad disponga para el proceso. Se hace presente que la comunicación institucional destinada a presentar candidaturas deberá ofrecer oportunidades equivalentes a todas las personas postulantes, sin perjuicio de las actividades que cada candidatura pueda desarrollar por su propia iniciativa fuera de los espacios oficiales organizados por la Universidad.</w:t>
      </w:r>
    </w:p>
    <w:p w14:paraId="7FE683DB" w14:textId="77777777" w:rsidR="00BA7816" w:rsidRDefault="00000000">
      <w:pPr>
        <w:spacing w:before="100" w:after="100" w:line="240" w:lineRule="auto"/>
        <w:jc w:val="both"/>
      </w:pPr>
      <w:r>
        <w:rPr>
          <w:rFonts w:ascii="Arial Narrow" w:hAnsi="Arial Narrow"/>
        </w:rPr>
        <w:t xml:space="preserve">El Tribunal acuerda asimismo que las próximas comunicaciones relativas a los padrones deberán indicar con claridad su carácter provisional, el plazo disponible para formular observaciones y el canal correspondiente para efectuar dichas presentaciones. Se procurará que el acceso a las </w:t>
      </w:r>
      <w:r>
        <w:rPr>
          <w:rFonts w:ascii="Arial Narrow" w:hAnsi="Arial Narrow"/>
        </w:rPr>
        <w:lastRenderedPageBreak/>
        <w:t>nóminas se encuentre disponible en el sitio estatutos.ufro.cl y que las comunicaciones remitan directamente a dicho espacio.</w:t>
      </w:r>
    </w:p>
    <w:p w14:paraId="495D6AB5" w14:textId="77777777" w:rsidR="00BA7816" w:rsidRDefault="00000000">
      <w:pPr>
        <w:spacing w:before="100" w:after="100" w:line="240" w:lineRule="auto"/>
        <w:jc w:val="both"/>
      </w:pPr>
      <w:r>
        <w:rPr>
          <w:rFonts w:ascii="Arial Narrow" w:hAnsi="Arial Narrow"/>
        </w:rPr>
        <w:t>En cuanto a la planificación de las semanas siguientes, se señala que, una vez publicados los padrones, la principal actividad del Tribunal consistirá en recibir y resolver las observaciones o reclamaciones que se formulen. Atendido que durante la semana inmediatamente siguiente no se prevén otras decisiones sustantivas programadas, se acuerda no realizar una sesión ordinaria en dicha fecha, salvo que el volumen o naturaleza de las presentaciones recibidas haga necesaria una convocatoria.</w:t>
      </w:r>
    </w:p>
    <w:p w14:paraId="1FD38F3A" w14:textId="77777777" w:rsidR="00BA7816" w:rsidRDefault="00000000">
      <w:pPr>
        <w:spacing w:before="100" w:after="100" w:line="240" w:lineRule="auto"/>
        <w:jc w:val="both"/>
      </w:pPr>
      <w:r>
        <w:rPr>
          <w:rFonts w:ascii="Arial Narrow" w:hAnsi="Arial Narrow"/>
        </w:rPr>
        <w:t>Se acuerda que el Presidente mantendrá informados a los integrantes respecto de las reclamaciones que ingresen y citará a sesión cuando exista una materia que requiera deliberación del Tribunal. Las correcciones evidentes o verificables mediante antecedentes oficiales podrán ser preparadas administrativamente para su posterior conocimiento, reservándose la deliberación colegiada para aquellas situaciones que presenten dudas o requieran interpretación.</w:t>
      </w:r>
    </w:p>
    <w:p w14:paraId="122A6603" w14:textId="77777777" w:rsidR="00BA7816" w:rsidRDefault="00000000">
      <w:pPr>
        <w:spacing w:before="100" w:after="100" w:line="240" w:lineRule="auto"/>
        <w:jc w:val="both"/>
      </w:pPr>
      <w:r>
        <w:rPr>
          <w:rFonts w:ascii="Arial Narrow" w:hAnsi="Arial Narrow"/>
        </w:rPr>
        <w:t>Finalmente, se acuerda continuar elaborando una programación de las comunicaciones oficiales que deberán emitirse en las siguientes etapas, particularmente aquellas relativas a la publicación y revisión de padrones y al inicio del período de inscripción de candidaturas, de manera que los textos puedan ser preparados y revisados con la debida anticipación.</w:t>
      </w:r>
    </w:p>
    <w:p w14:paraId="7F982E91" w14:textId="77777777" w:rsidR="00BA7816" w:rsidRDefault="00000000">
      <w:pPr>
        <w:spacing w:before="100" w:after="100" w:line="240" w:lineRule="auto"/>
        <w:jc w:val="both"/>
      </w:pPr>
      <w:r>
        <w:rPr>
          <w:rFonts w:ascii="Arial Narrow" w:hAnsi="Arial Narrow"/>
        </w:rPr>
        <w:t>No habiendo otros puntos que tratar, se levanta la sesión siendo las 12:40 horas.</w:t>
      </w:r>
    </w:p>
    <w:p w14:paraId="0C3F7AB2" w14:textId="77777777" w:rsidR="00BA7816" w:rsidRDefault="00000000">
      <w:pPr>
        <w:spacing w:before="100" w:after="100" w:line="240" w:lineRule="auto"/>
        <w:jc w:val="both"/>
      </w:pPr>
      <w:r>
        <w:rPr>
          <w:rFonts w:ascii="Arial Narrow" w:hAnsi="Arial Narrow"/>
        </w:rPr>
        <w:t>Firman para constancia:</w:t>
      </w:r>
    </w:p>
    <w:p w14:paraId="7A52C877" w14:textId="77777777" w:rsidR="00BA7816" w:rsidRDefault="00BA7816">
      <w:pPr>
        <w:spacing w:before="100" w:after="100" w:line="240" w:lineRule="auto"/>
      </w:pPr>
    </w:p>
    <w:p w14:paraId="54E17A36" w14:textId="77777777" w:rsidR="00BA7816" w:rsidRDefault="00BA7816">
      <w:pPr>
        <w:spacing w:before="100" w:after="100" w:line="240" w:lineRule="auto"/>
      </w:pPr>
    </w:p>
    <w:p w14:paraId="691A428E" w14:textId="77777777" w:rsidR="00BA7816" w:rsidRDefault="00000000">
      <w:pPr>
        <w:spacing w:before="100" w:after="100" w:line="240" w:lineRule="auto"/>
        <w:jc w:val="center"/>
      </w:pPr>
      <w:r>
        <w:rPr>
          <w:rFonts w:ascii="Arial Narrow" w:hAnsi="Arial Narrow"/>
        </w:rPr>
        <w:t>Andrés Eduardo Sáez Geoffroy</w:t>
      </w:r>
    </w:p>
    <w:p w14:paraId="2F7832BB" w14:textId="77777777" w:rsidR="00BA7816" w:rsidRDefault="00000000">
      <w:pPr>
        <w:spacing w:before="100" w:after="100" w:line="240" w:lineRule="auto"/>
        <w:jc w:val="center"/>
      </w:pPr>
      <w:r>
        <w:rPr>
          <w:rFonts w:ascii="Arial Narrow" w:hAnsi="Arial Narrow"/>
        </w:rPr>
        <w:t>Presidente TRICEL</w:t>
      </w:r>
    </w:p>
    <w:p w14:paraId="313EEE0D" w14:textId="77777777" w:rsidR="00BA7816" w:rsidRDefault="00BA7816">
      <w:pPr>
        <w:spacing w:before="100" w:after="100" w:line="240" w:lineRule="auto"/>
        <w:jc w:val="center"/>
      </w:pPr>
    </w:p>
    <w:p w14:paraId="563F3273" w14:textId="77777777" w:rsidR="00BA7816" w:rsidRDefault="00BA7816">
      <w:pPr>
        <w:spacing w:before="100" w:after="100" w:line="240" w:lineRule="auto"/>
        <w:jc w:val="center"/>
      </w:pPr>
    </w:p>
    <w:p w14:paraId="517F5BCA" w14:textId="77777777" w:rsidR="00BA7816" w:rsidRDefault="00BA7816">
      <w:pPr>
        <w:spacing w:before="100" w:after="100" w:line="240" w:lineRule="auto"/>
        <w:jc w:val="center"/>
      </w:pPr>
    </w:p>
    <w:p w14:paraId="1DF13172" w14:textId="77777777" w:rsidR="00BA7816" w:rsidRDefault="00000000">
      <w:pPr>
        <w:spacing w:before="100" w:after="100" w:line="240" w:lineRule="auto"/>
        <w:jc w:val="center"/>
      </w:pPr>
      <w:r>
        <w:rPr>
          <w:rFonts w:ascii="Arial Narrow" w:hAnsi="Arial Narrow"/>
        </w:rPr>
        <w:t>Juan Carlos Guajardo Puga</w:t>
      </w:r>
    </w:p>
    <w:p w14:paraId="4902ACD1" w14:textId="77777777" w:rsidR="00BA7816" w:rsidRDefault="00000000">
      <w:pPr>
        <w:spacing w:before="100" w:after="100" w:line="240" w:lineRule="auto"/>
        <w:jc w:val="center"/>
      </w:pPr>
      <w:r>
        <w:rPr>
          <w:rFonts w:ascii="Arial Narrow" w:hAnsi="Arial Narrow"/>
        </w:rPr>
        <w:t>Secretario General</w:t>
      </w:r>
    </w:p>
    <w:p w14:paraId="06ACB5EE" w14:textId="77777777" w:rsidR="00BA7816" w:rsidRDefault="00000000">
      <w:pPr>
        <w:spacing w:before="100" w:after="100" w:line="240" w:lineRule="auto"/>
        <w:jc w:val="center"/>
      </w:pPr>
      <w:r>
        <w:rPr>
          <w:rFonts w:ascii="Arial Narrow" w:hAnsi="Arial Narrow"/>
        </w:rPr>
        <w:t>Ministro de fe TRICEL</w:t>
      </w:r>
    </w:p>
    <w:sectPr w:rsidR="00BA781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D56FA"/>
    <w:multiLevelType w:val="hybridMultilevel"/>
    <w:tmpl w:val="DB4210E0"/>
    <w:lvl w:ilvl="0" w:tplc="6DCC8C18">
      <w:start w:val="5"/>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361D4437"/>
    <w:multiLevelType w:val="hybridMultilevel"/>
    <w:tmpl w:val="C11833A8"/>
    <w:lvl w:ilvl="0" w:tplc="1F6CB2EE">
      <w:start w:val="5"/>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54D81D93"/>
    <w:multiLevelType w:val="multilevel"/>
    <w:tmpl w:val="B4024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9A5F33"/>
    <w:multiLevelType w:val="hybridMultilevel"/>
    <w:tmpl w:val="8A00915C"/>
    <w:lvl w:ilvl="0" w:tplc="BF90B22A">
      <w:start w:val="5"/>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68CB0AC8"/>
    <w:multiLevelType w:val="hybridMultilevel"/>
    <w:tmpl w:val="FCA621A8"/>
    <w:lvl w:ilvl="0" w:tplc="6DCC8C18">
      <w:start w:val="5"/>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1279147669">
    <w:abstractNumId w:val="2"/>
  </w:num>
  <w:num w:numId="2" w16cid:durableId="406660103">
    <w:abstractNumId w:val="3"/>
  </w:num>
  <w:num w:numId="3" w16cid:durableId="291254066">
    <w:abstractNumId w:val="1"/>
  </w:num>
  <w:num w:numId="4" w16cid:durableId="576283543">
    <w:abstractNumId w:val="4"/>
  </w:num>
  <w:num w:numId="5" w16cid:durableId="75713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6DC"/>
    <w:rsid w:val="00110EF2"/>
    <w:rsid w:val="001529C0"/>
    <w:rsid w:val="00265141"/>
    <w:rsid w:val="002B63D0"/>
    <w:rsid w:val="003A301F"/>
    <w:rsid w:val="003A39F4"/>
    <w:rsid w:val="003C51E1"/>
    <w:rsid w:val="00442143"/>
    <w:rsid w:val="004A0030"/>
    <w:rsid w:val="00516FAE"/>
    <w:rsid w:val="006376BF"/>
    <w:rsid w:val="00713658"/>
    <w:rsid w:val="0075614E"/>
    <w:rsid w:val="007F4765"/>
    <w:rsid w:val="00820EA9"/>
    <w:rsid w:val="0088046C"/>
    <w:rsid w:val="00880BCB"/>
    <w:rsid w:val="00880EF9"/>
    <w:rsid w:val="00957F70"/>
    <w:rsid w:val="00A767E6"/>
    <w:rsid w:val="00B066DC"/>
    <w:rsid w:val="00BA7816"/>
    <w:rsid w:val="00C43F8A"/>
    <w:rsid w:val="00DA3DBF"/>
    <w:rsid w:val="00E16717"/>
    <w:rsid w:val="00EE588F"/>
    <w:rsid w:val="00F93954"/>
    <w:rsid w:val="00F96D3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AF178"/>
  <w15:chartTrackingRefBased/>
  <w15:docId w15:val="{9F06511B-15BB-FA48-A5B4-6F2423727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066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066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066D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066D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066D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066D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066D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066D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066D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066D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066D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066D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066D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066D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066D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066D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066D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066DC"/>
    <w:rPr>
      <w:rFonts w:eastAsiaTheme="majorEastAsia" w:cstheme="majorBidi"/>
      <w:color w:val="272727" w:themeColor="text1" w:themeTint="D8"/>
    </w:rPr>
  </w:style>
  <w:style w:type="paragraph" w:styleId="Ttulo">
    <w:name w:val="Title"/>
    <w:basedOn w:val="Normal"/>
    <w:next w:val="Normal"/>
    <w:link w:val="TtuloCar"/>
    <w:uiPriority w:val="10"/>
    <w:qFormat/>
    <w:rsid w:val="00B066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066D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066D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066D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066DC"/>
    <w:pPr>
      <w:spacing w:before="160"/>
      <w:jc w:val="center"/>
    </w:pPr>
    <w:rPr>
      <w:i/>
      <w:iCs/>
      <w:color w:val="404040" w:themeColor="text1" w:themeTint="BF"/>
    </w:rPr>
  </w:style>
  <w:style w:type="character" w:customStyle="1" w:styleId="CitaCar">
    <w:name w:val="Cita Car"/>
    <w:basedOn w:val="Fuentedeprrafopredeter"/>
    <w:link w:val="Cita"/>
    <w:uiPriority w:val="29"/>
    <w:rsid w:val="00B066DC"/>
    <w:rPr>
      <w:i/>
      <w:iCs/>
      <w:color w:val="404040" w:themeColor="text1" w:themeTint="BF"/>
    </w:rPr>
  </w:style>
  <w:style w:type="paragraph" w:styleId="Prrafodelista">
    <w:name w:val="List Paragraph"/>
    <w:basedOn w:val="Normal"/>
    <w:uiPriority w:val="34"/>
    <w:qFormat/>
    <w:rsid w:val="00B066DC"/>
    <w:pPr>
      <w:ind w:left="720"/>
      <w:contextualSpacing/>
    </w:pPr>
  </w:style>
  <w:style w:type="character" w:styleId="nfasisintenso">
    <w:name w:val="Intense Emphasis"/>
    <w:basedOn w:val="Fuentedeprrafopredeter"/>
    <w:uiPriority w:val="21"/>
    <w:qFormat/>
    <w:rsid w:val="00B066DC"/>
    <w:rPr>
      <w:i/>
      <w:iCs/>
      <w:color w:val="0F4761" w:themeColor="accent1" w:themeShade="BF"/>
    </w:rPr>
  </w:style>
  <w:style w:type="paragraph" w:styleId="Citadestacada">
    <w:name w:val="Intense Quote"/>
    <w:basedOn w:val="Normal"/>
    <w:next w:val="Normal"/>
    <w:link w:val="CitadestacadaCar"/>
    <w:uiPriority w:val="30"/>
    <w:qFormat/>
    <w:rsid w:val="00B066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066DC"/>
    <w:rPr>
      <w:i/>
      <w:iCs/>
      <w:color w:val="0F4761" w:themeColor="accent1" w:themeShade="BF"/>
    </w:rPr>
  </w:style>
  <w:style w:type="character" w:styleId="Referenciaintensa">
    <w:name w:val="Intense Reference"/>
    <w:basedOn w:val="Fuentedeprrafopredeter"/>
    <w:uiPriority w:val="32"/>
    <w:qFormat/>
    <w:rsid w:val="00B066DC"/>
    <w:rPr>
      <w:b/>
      <w:bCs/>
      <w:smallCaps/>
      <w:color w:val="0F4761" w:themeColor="accent1" w:themeShade="BF"/>
      <w:spacing w:val="5"/>
    </w:rPr>
  </w:style>
  <w:style w:type="paragraph" w:styleId="NormalWeb">
    <w:name w:val="Normal (Web)"/>
    <w:basedOn w:val="Normal"/>
    <w:uiPriority w:val="99"/>
    <w:semiHidden/>
    <w:unhideWhenUsed/>
    <w:rsid w:val="00B066DC"/>
    <w:pPr>
      <w:spacing w:before="100" w:beforeAutospacing="1" w:after="100" w:afterAutospacing="1" w:line="240" w:lineRule="auto"/>
    </w:pPr>
    <w:rPr>
      <w:rFonts w:ascii="Times New Roman" w:eastAsia="Times New Roman" w:hAnsi="Times New Roman" w:cs="Times New Roman"/>
      <w:kern w:val="0"/>
      <w:lang w:eastAsia="es-ES_tradnl"/>
      <w14:ligatures w14:val="none"/>
    </w:rPr>
  </w:style>
  <w:style w:type="character" w:styleId="Fuerte">
    <w:name w:val="Strong"/>
    <w:basedOn w:val="Fuentedeprrafopredeter"/>
    <w:uiPriority w:val="22"/>
    <w:qFormat/>
    <w:rsid w:val="00B066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1873</Words>
  <Characters>10305</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Sesión N°5 TRICEL - 13 de agosto de 2026</dc:title>
  <dc:subject>Proceso de Elección de la Comisión Triestamental</dc:subject>
  <dc:creator>Juan Carlos Guajardo Puga</dc:creator>
  <cp:keywords/>
  <dc:description/>
  <cp:lastModifiedBy>Andrés Sáez Geoffroy</cp:lastModifiedBy>
  <cp:revision>6</cp:revision>
  <dcterms:created xsi:type="dcterms:W3CDTF">2026-08-27T13:50:00Z</dcterms:created>
  <dcterms:modified xsi:type="dcterms:W3CDTF">2026-09-10T23:55:00Z</dcterms:modified>
</cp:coreProperties>
</file>