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84982F" w14:textId="77777777" w:rsidR="006300D7" w:rsidRDefault="00000000">
      <w:pPr>
        <w:spacing w:after="0" w:line="360" w:lineRule="auto"/>
        <w:jc w:val="center"/>
      </w:pPr>
      <w:r>
        <w:rPr>
          <w:rFonts w:ascii="Arial Narrow" w:eastAsia="Arial Narrow" w:hAnsi="Arial Narrow" w:cs="Arial Narrow"/>
          <w:smallCaps/>
        </w:rPr>
        <w:t>Acta de Sesión del Tribunal Calificador de Elecciones TRICEL.</w:t>
      </w:r>
      <w:r>
        <w:rPr>
          <w:rFonts w:ascii="Arial Narrow" w:eastAsia="Arial Narrow" w:hAnsi="Arial Narrow" w:cs="Arial Narrow"/>
          <w:smallCaps/>
        </w:rPr>
        <w:br/>
        <w:t>Proceso De Elección De La Comisión Triestamental</w:t>
      </w:r>
    </w:p>
    <w:p w14:paraId="35BFC593" w14:textId="77777777" w:rsidR="00375E52" w:rsidRDefault="00375E52">
      <w:pPr>
        <w:spacing w:before="100" w:after="100" w:line="240" w:lineRule="auto"/>
        <w:rPr>
          <w:rFonts w:ascii="Arial Narrow" w:eastAsia="Arial Narrow" w:hAnsi="Arial Narrow" w:cs="Arial Narrow"/>
        </w:rPr>
      </w:pPr>
    </w:p>
    <w:p w14:paraId="65085EC4" w14:textId="77777777" w:rsidR="00375E52" w:rsidRDefault="00375E52">
      <w:pPr>
        <w:spacing w:before="100" w:after="100" w:line="240" w:lineRule="auto"/>
        <w:rPr>
          <w:rFonts w:ascii="Arial Narrow" w:eastAsia="Arial Narrow" w:hAnsi="Arial Narrow" w:cs="Arial Narrow"/>
        </w:rPr>
      </w:pPr>
    </w:p>
    <w:p w14:paraId="49CF0024" w14:textId="190B6402" w:rsidR="006300D7" w:rsidRDefault="00000000">
      <w:pPr>
        <w:spacing w:before="100" w:after="100" w:line="240" w:lineRule="auto"/>
      </w:pPr>
      <w:r>
        <w:rPr>
          <w:rFonts w:ascii="Arial Narrow" w:eastAsia="Arial Narrow" w:hAnsi="Arial Narrow" w:cs="Arial Narrow"/>
        </w:rPr>
        <w:t>Número de sesión: 4.</w:t>
      </w:r>
    </w:p>
    <w:p w14:paraId="25454058" w14:textId="77777777" w:rsidR="006300D7" w:rsidRDefault="00000000">
      <w:pPr>
        <w:spacing w:before="100" w:after="100" w:line="240" w:lineRule="auto"/>
      </w:pPr>
      <w:r>
        <w:rPr>
          <w:rFonts w:ascii="Arial Narrow" w:eastAsia="Arial Narrow" w:hAnsi="Arial Narrow" w:cs="Arial Narrow"/>
        </w:rPr>
        <w:t>Tipo de sesión: ordinaria.</w:t>
      </w:r>
    </w:p>
    <w:p w14:paraId="6CC22C95" w14:textId="77777777" w:rsidR="006300D7" w:rsidRDefault="00000000">
      <w:pPr>
        <w:spacing w:before="100" w:after="100" w:line="240" w:lineRule="auto"/>
      </w:pPr>
      <w:r>
        <w:rPr>
          <w:rFonts w:ascii="Arial Narrow" w:eastAsia="Arial Narrow" w:hAnsi="Arial Narrow" w:cs="Arial Narrow"/>
        </w:rPr>
        <w:t>Fecha: 6 de agosto de 2026.</w:t>
      </w:r>
    </w:p>
    <w:p w14:paraId="70354E4E" w14:textId="77777777" w:rsidR="006300D7" w:rsidRDefault="00000000">
      <w:pPr>
        <w:spacing w:before="100" w:after="100" w:line="240" w:lineRule="auto"/>
      </w:pPr>
      <w:r>
        <w:rPr>
          <w:rFonts w:ascii="Arial Narrow" w:eastAsia="Arial Narrow" w:hAnsi="Arial Narrow" w:cs="Arial Narrow"/>
        </w:rPr>
        <w:t>Lugar: Sala de Consejo de Rectoría.</w:t>
      </w:r>
    </w:p>
    <w:p w14:paraId="480A020B" w14:textId="77777777" w:rsidR="006300D7" w:rsidRDefault="00000000">
      <w:pPr>
        <w:spacing w:before="100" w:after="100" w:line="240" w:lineRule="auto"/>
      </w:pPr>
      <w:r>
        <w:rPr>
          <w:rFonts w:ascii="Arial Narrow" w:eastAsia="Arial Narrow" w:hAnsi="Arial Narrow" w:cs="Arial Narrow"/>
        </w:rPr>
        <w:t>Hora de inicio: 11:00 horas.</w:t>
      </w:r>
    </w:p>
    <w:p w14:paraId="42FD35A4" w14:textId="77777777" w:rsidR="006300D7" w:rsidRDefault="00000000">
      <w:pPr>
        <w:spacing w:before="100" w:after="100" w:line="240" w:lineRule="auto"/>
      </w:pPr>
      <w:r>
        <w:rPr>
          <w:rFonts w:ascii="Arial Narrow" w:eastAsia="Arial Narrow" w:hAnsi="Arial Narrow" w:cs="Arial Narrow"/>
        </w:rPr>
        <w:t>Hora de término: 13:03 horas.</w:t>
      </w:r>
    </w:p>
    <w:p w14:paraId="06FF9FA9" w14:textId="77777777" w:rsidR="006300D7" w:rsidRDefault="00000000">
      <w:pPr>
        <w:spacing w:before="100" w:after="100" w:line="240" w:lineRule="auto"/>
      </w:pPr>
      <w:r>
        <w:rPr>
          <w:rFonts w:ascii="Arial Narrow" w:eastAsia="Arial Narrow" w:hAnsi="Arial Narrow" w:cs="Arial Narrow"/>
        </w:rPr>
        <w:t>Integrantes asistentes:</w:t>
      </w:r>
    </w:p>
    <w:p w14:paraId="179CCA06" w14:textId="77777777" w:rsidR="006300D7" w:rsidRDefault="00000000">
      <w:pPr>
        <w:pStyle w:val="Prrafodelista"/>
        <w:spacing w:before="100" w:after="100" w:line="240" w:lineRule="auto"/>
      </w:pPr>
      <w:r>
        <w:rPr>
          <w:rFonts w:ascii="Arial Narrow" w:hAnsi="Arial Narrow"/>
        </w:rPr>
        <w:t>-    Christian Arnoldo Vergara Ojeda, representante titular del estamento académico.</w:t>
      </w:r>
    </w:p>
    <w:p w14:paraId="74FF016C" w14:textId="77777777" w:rsidR="006300D7" w:rsidRDefault="00000000">
      <w:pPr>
        <w:pStyle w:val="Prrafodelista"/>
        <w:spacing w:before="100" w:after="100" w:line="240" w:lineRule="auto"/>
      </w:pPr>
      <w:r>
        <w:rPr>
          <w:rFonts w:ascii="Arial Narrow" w:hAnsi="Arial Narrow"/>
        </w:rPr>
        <w:t>-    Andrés Eduardo Sáez Geoffroy, representante titular del estamento académico.</w:t>
      </w:r>
    </w:p>
    <w:p w14:paraId="75E683BE" w14:textId="77777777" w:rsidR="006300D7" w:rsidRDefault="00000000">
      <w:pPr>
        <w:pStyle w:val="Prrafodelista"/>
        <w:spacing w:before="100" w:after="100" w:line="240" w:lineRule="auto"/>
      </w:pPr>
      <w:r>
        <w:rPr>
          <w:rFonts w:ascii="Arial Narrow" w:hAnsi="Arial Narrow"/>
        </w:rPr>
        <w:t>-    Jaime Andrés Tijmes Ihl, representante titular del estamento académico.</w:t>
      </w:r>
    </w:p>
    <w:p w14:paraId="27590570" w14:textId="77777777" w:rsidR="006300D7" w:rsidRDefault="00000000">
      <w:pPr>
        <w:pStyle w:val="Prrafodelista"/>
        <w:spacing w:before="100" w:after="100" w:line="240" w:lineRule="auto"/>
      </w:pPr>
      <w:r>
        <w:rPr>
          <w:rFonts w:ascii="Arial Narrow" w:hAnsi="Arial Narrow"/>
        </w:rPr>
        <w:t>-    Elsa Ximena Vera Sepúlveda, representante titular del estamento administrativo.</w:t>
      </w:r>
    </w:p>
    <w:p w14:paraId="1D326571" w14:textId="77777777" w:rsidR="006300D7" w:rsidRDefault="00000000">
      <w:pPr>
        <w:pStyle w:val="Prrafodelista"/>
        <w:spacing w:before="100" w:after="100" w:line="240" w:lineRule="auto"/>
      </w:pPr>
      <w:r>
        <w:rPr>
          <w:rFonts w:ascii="Arial Narrow" w:hAnsi="Arial Narrow"/>
        </w:rPr>
        <w:t>-    Paula Belén Floody Flores, representante titular del estamento administrativo.</w:t>
      </w:r>
    </w:p>
    <w:p w14:paraId="316A6C07" w14:textId="77777777" w:rsidR="006300D7" w:rsidRDefault="00000000">
      <w:pPr>
        <w:pStyle w:val="Prrafodelista"/>
        <w:spacing w:before="100" w:after="100" w:line="240" w:lineRule="auto"/>
      </w:pPr>
      <w:r>
        <w:rPr>
          <w:rFonts w:ascii="Arial Narrow" w:hAnsi="Arial Narrow"/>
        </w:rPr>
        <w:t>-    Servando Ulises Contreras Illanes, representante titular del estamento administrativo.</w:t>
      </w:r>
    </w:p>
    <w:p w14:paraId="5ABF296D" w14:textId="77777777" w:rsidR="006300D7" w:rsidRDefault="00000000">
      <w:pPr>
        <w:pStyle w:val="Prrafodelista"/>
        <w:spacing w:before="100" w:after="100" w:line="240" w:lineRule="auto"/>
      </w:pPr>
      <w:r>
        <w:rPr>
          <w:rFonts w:ascii="Arial Narrow" w:hAnsi="Arial Narrow"/>
        </w:rPr>
        <w:t>-    Lorena Paz Espinoza Arévalo, representante suplente del estamento administrativo.</w:t>
      </w:r>
    </w:p>
    <w:p w14:paraId="72A50F1D" w14:textId="77777777" w:rsidR="006300D7" w:rsidRDefault="00000000">
      <w:pPr>
        <w:pStyle w:val="Prrafodelista"/>
        <w:spacing w:before="100" w:after="100" w:line="240" w:lineRule="auto"/>
      </w:pPr>
      <w:r>
        <w:rPr>
          <w:rFonts w:ascii="Arial Narrow" w:hAnsi="Arial Narrow"/>
        </w:rPr>
        <w:t>-    Rayen Millaray Mellado Godoy, representante titular del estamento estudiantil.</w:t>
      </w:r>
    </w:p>
    <w:p w14:paraId="4141C78B" w14:textId="77777777" w:rsidR="006300D7" w:rsidRDefault="00000000">
      <w:pPr>
        <w:pStyle w:val="Prrafodelista"/>
        <w:spacing w:before="100" w:after="100" w:line="240" w:lineRule="auto"/>
      </w:pPr>
      <w:r>
        <w:rPr>
          <w:rFonts w:ascii="Arial Narrow" w:hAnsi="Arial Narrow"/>
        </w:rPr>
        <w:t>-    Paulina Constanza Martínez Rodríguez, representante titular del estamento estudiantil.</w:t>
      </w:r>
    </w:p>
    <w:p w14:paraId="1390EAA7" w14:textId="77777777" w:rsidR="006300D7" w:rsidRDefault="00000000">
      <w:pPr>
        <w:spacing w:before="100" w:after="100" w:line="240" w:lineRule="auto"/>
      </w:pPr>
      <w:r>
        <w:rPr>
          <w:rFonts w:ascii="Arial Narrow" w:eastAsia="Arial Narrow" w:hAnsi="Arial Narrow" w:cs="Arial Narrow"/>
        </w:rPr>
        <w:t>Inasistencia justificada:</w:t>
      </w:r>
    </w:p>
    <w:p w14:paraId="3986C343" w14:textId="77777777" w:rsidR="006300D7" w:rsidRDefault="00000000">
      <w:pPr>
        <w:pStyle w:val="Prrafodelista"/>
        <w:spacing w:before="100" w:after="100" w:line="240" w:lineRule="auto"/>
        <w:rPr>
          <w:rFonts w:ascii="Arial Narrow" w:hAnsi="Arial Narrow"/>
        </w:rPr>
      </w:pPr>
      <w:r>
        <w:rPr>
          <w:rFonts w:ascii="Arial Narrow" w:hAnsi="Arial Narrow"/>
        </w:rPr>
        <w:t>-    Francisco Zavala Cárdenas, representante titular del estamento estudiantil, quien informó encontrarse en práctica en Villarrica.</w:t>
      </w:r>
    </w:p>
    <w:p w14:paraId="6CEF84C3" w14:textId="1CE0F73A" w:rsidR="0067298C" w:rsidRDefault="0067298C">
      <w:pPr>
        <w:pStyle w:val="Prrafodelista"/>
        <w:spacing w:before="100" w:after="100" w:line="240" w:lineRule="auto"/>
      </w:pPr>
      <w:r>
        <w:rPr>
          <w:rFonts w:ascii="Arial Narrow" w:hAnsi="Arial Narrow"/>
        </w:rPr>
        <w:t xml:space="preserve">- Cristian Aguilera Rossi, </w:t>
      </w:r>
      <w:proofErr w:type="gramStart"/>
      <w:r>
        <w:rPr>
          <w:rFonts w:ascii="Arial Narrow" w:hAnsi="Arial Narrow"/>
        </w:rPr>
        <w:t>representante  suplente</w:t>
      </w:r>
      <w:proofErr w:type="gramEnd"/>
      <w:r>
        <w:rPr>
          <w:rFonts w:ascii="Arial Narrow" w:hAnsi="Arial Narrow"/>
        </w:rPr>
        <w:t xml:space="preserve"> estamento académico</w:t>
      </w:r>
    </w:p>
    <w:p w14:paraId="01FDBCD5" w14:textId="054CA9AC" w:rsidR="006300D7" w:rsidRDefault="00000000">
      <w:pPr>
        <w:spacing w:before="100" w:after="100" w:line="240" w:lineRule="auto"/>
      </w:pPr>
      <w:r>
        <w:rPr>
          <w:rFonts w:ascii="Arial Narrow" w:eastAsia="Arial Narrow" w:hAnsi="Arial Narrow" w:cs="Arial Narrow"/>
        </w:rPr>
        <w:t>Asisten adicionalmente</w:t>
      </w:r>
      <w:r w:rsidR="00A20FD2">
        <w:rPr>
          <w:rFonts w:ascii="Arial Narrow" w:eastAsia="Arial Narrow" w:hAnsi="Arial Narrow" w:cs="Arial Narrow"/>
        </w:rPr>
        <w:t>:</w:t>
      </w:r>
    </w:p>
    <w:p w14:paraId="7E41E289" w14:textId="77777777" w:rsidR="006300D7" w:rsidRDefault="00000000">
      <w:pPr>
        <w:pStyle w:val="Prrafodelista"/>
        <w:spacing w:before="100" w:after="100" w:line="240" w:lineRule="auto"/>
      </w:pPr>
      <w:r>
        <w:rPr>
          <w:rFonts w:ascii="Arial Narrow" w:hAnsi="Arial Narrow"/>
        </w:rPr>
        <w:t>-    Juan Carlos Guajardo Puga, Secretario General de la Universidad de La Frontera, en calidad de ministro de fe del TRICEL.</w:t>
      </w:r>
    </w:p>
    <w:p w14:paraId="409C9397" w14:textId="77777777" w:rsidR="006300D7" w:rsidRDefault="00000000">
      <w:pPr>
        <w:pStyle w:val="Prrafodelista"/>
        <w:spacing w:before="100" w:after="100" w:line="240" w:lineRule="auto"/>
      </w:pPr>
      <w:r>
        <w:rPr>
          <w:rFonts w:ascii="Arial Narrow" w:hAnsi="Arial Narrow"/>
        </w:rPr>
        <w:t>-    Andrea Poblete, representante de la Dirección de Comunicaciones, quien participa durante el punto relativo al plan comunicacional.</w:t>
      </w:r>
    </w:p>
    <w:p w14:paraId="51D6CEF6" w14:textId="77777777" w:rsidR="006300D7" w:rsidRDefault="00000000">
      <w:pPr>
        <w:pStyle w:val="Prrafodelista"/>
        <w:spacing w:before="100" w:after="100" w:line="240" w:lineRule="auto"/>
      </w:pPr>
      <w:r>
        <w:rPr>
          <w:rFonts w:ascii="Arial Narrow" w:hAnsi="Arial Narrow"/>
        </w:rPr>
        <w:t>-    Alejandra González, integrante de la Coordinación de Marketing y Campañas Corporativas, quien participa durante el punto relativo al plan comunicacional.</w:t>
      </w:r>
    </w:p>
    <w:p w14:paraId="38CE9BAB" w14:textId="3A444FEE" w:rsidR="006300D7" w:rsidRDefault="00000000">
      <w:pPr>
        <w:pStyle w:val="Prrafodelista"/>
        <w:spacing w:before="100" w:after="100" w:line="240" w:lineRule="auto"/>
      </w:pPr>
      <w:r>
        <w:rPr>
          <w:rFonts w:ascii="Arial Narrow" w:hAnsi="Arial Narrow"/>
        </w:rPr>
        <w:t xml:space="preserve">-    Leonardo </w:t>
      </w:r>
      <w:r w:rsidR="0067298C">
        <w:rPr>
          <w:rFonts w:ascii="Arial Narrow" w:hAnsi="Arial Narrow"/>
        </w:rPr>
        <w:t>Lleuful</w:t>
      </w:r>
      <w:r>
        <w:rPr>
          <w:rFonts w:ascii="Arial Narrow" w:hAnsi="Arial Narrow"/>
        </w:rPr>
        <w:t xml:space="preserve">, </w:t>
      </w:r>
      <w:proofErr w:type="gramStart"/>
      <w:r>
        <w:rPr>
          <w:rFonts w:ascii="Arial Narrow" w:hAnsi="Arial Narrow"/>
        </w:rPr>
        <w:t>Presidente</w:t>
      </w:r>
      <w:proofErr w:type="gramEnd"/>
      <w:r>
        <w:rPr>
          <w:rFonts w:ascii="Arial Narrow" w:hAnsi="Arial Narrow"/>
        </w:rPr>
        <w:t xml:space="preserve"> de la Mesa Intercultural, quien participa durante el punto relativo a interculturalidad y escaños reservados.</w:t>
      </w:r>
    </w:p>
    <w:p w14:paraId="6936C2F7" w14:textId="77777777" w:rsidR="006300D7" w:rsidRDefault="006300D7">
      <w:pPr>
        <w:spacing w:before="100" w:after="100" w:line="240" w:lineRule="auto"/>
      </w:pPr>
    </w:p>
    <w:p w14:paraId="74E26162" w14:textId="77777777" w:rsidR="006300D7" w:rsidRDefault="00000000">
      <w:pPr>
        <w:spacing w:before="100" w:after="100" w:line="240" w:lineRule="auto"/>
        <w:jc w:val="both"/>
      </w:pPr>
      <w:r>
        <w:rPr>
          <w:rFonts w:ascii="Arial Narrow" w:eastAsia="Arial Narrow" w:hAnsi="Arial Narrow" w:cs="Arial Narrow"/>
        </w:rPr>
        <w:t>En Temuco, a 6 de agosto de 2026, siendo las 11:00 horas, se reúne en sesión ordinaria el Tribunal Calificador de Elecciones (TRICEL), formalizado mediante Resolución Exenta N°1582, de 2026. Se verifica la existencia de quórum suficiente para sesionar.</w:t>
      </w:r>
    </w:p>
    <w:p w14:paraId="2BBEDCC5" w14:textId="77777777" w:rsidR="006300D7" w:rsidRDefault="00000000">
      <w:pPr>
        <w:spacing w:before="100" w:after="100" w:line="240" w:lineRule="auto"/>
        <w:jc w:val="both"/>
      </w:pPr>
      <w:r>
        <w:rPr>
          <w:rFonts w:ascii="Arial Narrow" w:eastAsia="Arial Narrow" w:hAnsi="Arial Narrow" w:cs="Arial Narrow"/>
        </w:rPr>
        <w:t>Se deja constancia de la inasistencia justificada de don Francisco Zavala Cárdenas, representante titular del estamento estudiantil, quien informó encontrarse realizando actividades de práctica en Villarrica.</w:t>
      </w:r>
    </w:p>
    <w:p w14:paraId="54284842" w14:textId="77777777" w:rsidR="006300D7" w:rsidRDefault="00000000">
      <w:pPr>
        <w:spacing w:before="100" w:after="100" w:line="240" w:lineRule="auto"/>
        <w:jc w:val="both"/>
      </w:pPr>
      <w:r>
        <w:rPr>
          <w:rFonts w:ascii="Arial Narrow" w:eastAsia="Arial Narrow" w:hAnsi="Arial Narrow" w:cs="Arial Narrow"/>
        </w:rPr>
        <w:lastRenderedPageBreak/>
        <w:t>Preside la sesión don Andrés Eduardo Sáez Geoffroy, Presidente del TRICEL. Actúa como ministro de fe don Juan Carlos Guajardo Puga, Secretario General de la Universidad de La Frontera.</w:t>
      </w:r>
    </w:p>
    <w:p w14:paraId="2868EBE3" w14:textId="77777777" w:rsidR="006300D7" w:rsidRDefault="00000000">
      <w:pPr>
        <w:spacing w:before="100" w:after="100" w:line="240" w:lineRule="auto"/>
        <w:jc w:val="both"/>
      </w:pPr>
      <w:r>
        <w:rPr>
          <w:rFonts w:ascii="Arial Narrow" w:eastAsia="Arial Narrow" w:hAnsi="Arial Narrow" w:cs="Arial Narrow"/>
        </w:rPr>
        <w:t>El Presidente informa que la tabla comprende la revisión del estado de las actas anteriores; la presentación de la Dirección de Comunicaciones respecto del plan de difusión del proceso de elección de la Comisión Triestamental; una conversación con el Presidente de la Mesa Intercultural sobre la aplicación de las reglas relativas al pueblo Mapuche; la revisión de los padrones electorales; el análisis del Anexo N°1 relativo al equilibrio de género; y la revisión del Ordinario N°85 de Contraloría Universitaria, emitido a propósito de las consultas formuladas por el TRICEL sobre la representación estudiantil y el escaño reservado Mapuche.</w:t>
      </w:r>
    </w:p>
    <w:p w14:paraId="5C2E2A1F" w14:textId="77777777" w:rsidR="006300D7" w:rsidRDefault="00000000">
      <w:pPr>
        <w:spacing w:before="100" w:after="100" w:line="240" w:lineRule="auto"/>
        <w:jc w:val="both"/>
      </w:pPr>
      <w:r>
        <w:rPr>
          <w:rFonts w:ascii="Arial Narrow" w:eastAsia="Arial Narrow" w:hAnsi="Arial Narrow" w:cs="Arial Narrow"/>
        </w:rPr>
        <w:t>En relación con las actas anteriores, se deja constancia de que el acta de la sesión N°2 fue aprobada mediante consulta efectuada por correo electrónico, conforme al mecanismo acordado previamente. Respecto del acta de la sesión N°3, se señala que fue remitida para revisión y que no se habían formulado observaciones de fondo. El TRICEL acuerda mantener, para las actas siguientes, el mecanismo de revisión y aprobación por correo electrónico, de manera que sus integrantes dispongan de tiempo suficiente para revisarlas antes de su aprobación definitiva.</w:t>
      </w:r>
    </w:p>
    <w:p w14:paraId="7212CC1D" w14:textId="77777777" w:rsidR="006300D7" w:rsidRDefault="00000000">
      <w:pPr>
        <w:spacing w:before="100" w:after="100" w:line="240" w:lineRule="auto"/>
        <w:jc w:val="both"/>
      </w:pPr>
      <w:r>
        <w:rPr>
          <w:rFonts w:ascii="Arial Narrow" w:eastAsia="Arial Narrow" w:hAnsi="Arial Narrow" w:cs="Arial Narrow"/>
        </w:rPr>
        <w:t>A continuación, se recibe a doña Andrea Poblete y doña Alejandra González, de la Dirección de Comunicaciones. Se expone el trabajo desarrollado durante la primera fase de implementación de los nuevos Estatutos y la estrategia utilizada para la conformación del TRICEL, basada en una comunicación informativa y educativa, con difusión mediante correo electrónico, el sitio estatutos.ufro.cl, noticias institucionales, redes sociales corporativas y pantallas disponibles en edificios y unidades universitarias.</w:t>
      </w:r>
    </w:p>
    <w:p w14:paraId="562D611B" w14:textId="77777777" w:rsidR="006300D7" w:rsidRDefault="00000000">
      <w:pPr>
        <w:spacing w:before="100" w:after="100" w:line="240" w:lineRule="auto"/>
        <w:jc w:val="both"/>
      </w:pPr>
      <w:r>
        <w:rPr>
          <w:rFonts w:ascii="Arial Narrow" w:eastAsia="Arial Narrow" w:hAnsi="Arial Narrow" w:cs="Arial Narrow"/>
        </w:rPr>
        <w:t>La Dirección de Comunicaciones propone mantener, durante la segunda fase, una estrategia multiplataforma y una frecuencia de al menos una comunicación semanal, con el objeto de reducir la incertidumbre, facilitar la participación informada de la comunidad universitaria y acompañar cada uno de los hitos del calendario electoral. Se plantea, asimismo, mantener visible un acceso al sitio institucional de los Estatutos y reforzar la difusión mediante facultades, unidades y organizaciones universitarias cuando resulte pertinente.</w:t>
      </w:r>
    </w:p>
    <w:p w14:paraId="25F32A4B" w14:textId="77777777" w:rsidR="006300D7" w:rsidRDefault="00000000">
      <w:pPr>
        <w:spacing w:before="100" w:after="100" w:line="240" w:lineRule="auto"/>
        <w:jc w:val="both"/>
      </w:pPr>
      <w:r>
        <w:rPr>
          <w:rFonts w:ascii="Arial Narrow" w:eastAsia="Arial Narrow" w:hAnsi="Arial Narrow" w:cs="Arial Narrow"/>
        </w:rPr>
        <w:t>Se revisa el calendario comunicacional elaborado sobre la base del cronograma aprobado por el TRICEL. Durante su revisión, se acuerda que la eventual segunda convocatoria a candidaturas constituye un margen operativo que el Tribunal se reserva para el caso de resultar necesaria y que, por tanto, no debe figurar como un hito público ordinario del calendario. En consecuencia, se acuerda ajustar la versión destinada a difusión, eliminando los hitos internos asociados a dicha eventualidad y manteniéndolos como reserva de gestión del proceso.</w:t>
      </w:r>
    </w:p>
    <w:p w14:paraId="7CAA3EC8" w14:textId="77777777" w:rsidR="006300D7" w:rsidRDefault="00000000">
      <w:pPr>
        <w:spacing w:before="100" w:after="100" w:line="240" w:lineRule="auto"/>
        <w:jc w:val="both"/>
      </w:pPr>
      <w:r>
        <w:rPr>
          <w:rFonts w:ascii="Arial Narrow" w:eastAsia="Arial Narrow" w:hAnsi="Arial Narrow" w:cs="Arial Narrow"/>
        </w:rPr>
        <w:t>Se precisa igualmente que las elecciones de los estamentos académico y administrativo se desarrollarán los días 1 y 2 de octubre de 2026, mientras que la votación del estamento estudiantil se realizará los días 5, 6 y 7 de octubre, hasta las 12:00 horas del último día. Se deja constancia de que, una vez concluida la votación, los resultados preliminares deberán ser comunicados con claridad, haciendo presente que las más altas mayorías no determinan necesariamente por sí solas la integración definitiva de la Comisión, atendida la posterior aplicación de las reglas sobre escaño reservado Mapuche y equilibrio de género.</w:t>
      </w:r>
    </w:p>
    <w:p w14:paraId="2A37800F" w14:textId="77777777" w:rsidR="006300D7" w:rsidRDefault="00000000">
      <w:pPr>
        <w:spacing w:before="100" w:after="100" w:line="240" w:lineRule="auto"/>
        <w:jc w:val="both"/>
      </w:pPr>
      <w:r>
        <w:rPr>
          <w:rFonts w:ascii="Arial Narrow" w:eastAsia="Arial Narrow" w:hAnsi="Arial Narrow" w:cs="Arial Narrow"/>
        </w:rPr>
        <w:t>En relación con la denominación pública de la Comisión Triestamental, se plantea la necesidad de utilizar la denominación reglamentaria y, al mismo tiempo, contar con una fórmula comunicacional simple que facilite su identificación por la comunidad. Se solicita a la Dirección de Comunicaciones proponer alternativas que permitan compatibilizar ambas necesidades, evitando fórmulas que puedan generar confusión respecto de su integración.</w:t>
      </w:r>
    </w:p>
    <w:p w14:paraId="2E388D9A" w14:textId="77777777" w:rsidR="006300D7" w:rsidRDefault="00000000">
      <w:pPr>
        <w:spacing w:before="100" w:after="100" w:line="240" w:lineRule="auto"/>
        <w:jc w:val="both"/>
      </w:pPr>
      <w:r>
        <w:rPr>
          <w:rFonts w:ascii="Arial Narrow" w:eastAsia="Arial Narrow" w:hAnsi="Arial Narrow" w:cs="Arial Narrow"/>
        </w:rPr>
        <w:lastRenderedPageBreak/>
        <w:t>La Dirección de Comunicaciones hace presente que, para producir oportunamente las piezas gráficas, correos, publicaciones, videos y demás contenidos, requiere disponer de la información oficial con al menos 48 horas de anticipación. Se acuerda que todo contenido institucional relativo al proceso deberá originarse en información validada por el TRICEL y contar con su visación antes de ser publicado.</w:t>
      </w:r>
    </w:p>
    <w:p w14:paraId="4A9D11BB" w14:textId="77777777" w:rsidR="006300D7" w:rsidRDefault="00000000">
      <w:pPr>
        <w:spacing w:before="100" w:after="100" w:line="240" w:lineRule="auto"/>
        <w:jc w:val="both"/>
      </w:pPr>
      <w:r>
        <w:rPr>
          <w:rFonts w:ascii="Arial Narrow" w:eastAsia="Arial Narrow" w:hAnsi="Arial Narrow" w:cs="Arial Narrow"/>
        </w:rPr>
        <w:t>Para facilitar dicha coordinación, se acuerda que doña Lorena Paz Espinoza Arévalo canalizará la preparación y organización de los contenidos a comunicar, los que serán revisados y visados por doña Paula Belén Floody Flores y don Christian Arnoldo Vergara Ojeda antes de su remisión a la Dirección de Comunicaciones. Se acuerda, además, utilizar el correo institucional del TRICEL como remitente de las comunicaciones propias del Tribunal cuando ello resulte técnicamente posible.</w:t>
      </w:r>
    </w:p>
    <w:p w14:paraId="06BE0309" w14:textId="77777777" w:rsidR="006300D7" w:rsidRDefault="00000000">
      <w:pPr>
        <w:spacing w:before="100" w:after="100" w:line="240" w:lineRule="auto"/>
        <w:jc w:val="both"/>
      </w:pPr>
      <w:r>
        <w:rPr>
          <w:rFonts w:ascii="Arial Narrow" w:eastAsia="Arial Narrow" w:hAnsi="Arial Narrow" w:cs="Arial Narrow"/>
        </w:rPr>
        <w:t>Concluido el punto comunicacional, se recibe a don Leonardo Yuful, Presidente de la Mesa Intercultural, con el objeto de abordar las dudas surgidas respecto de la aplicación de las normas vinculadas a interculturalidad y al escaño reservado para el pueblo Mapuche. El invitado explica que la política institucional de relaciones interculturales pone especial énfasis en los pueblos originarios y, particularmente, en el pueblo Mapuche, atendido el territorio en que se emplaza la Universidad y la composición de su comunidad universitaria.</w:t>
      </w:r>
    </w:p>
    <w:p w14:paraId="42872A6A" w14:textId="77777777" w:rsidR="006300D7" w:rsidRDefault="00000000">
      <w:pPr>
        <w:spacing w:before="100" w:after="100" w:line="240" w:lineRule="auto"/>
        <w:jc w:val="both"/>
      </w:pPr>
      <w:r>
        <w:rPr>
          <w:rFonts w:ascii="Arial Narrow" w:eastAsia="Arial Narrow" w:hAnsi="Arial Narrow" w:cs="Arial Narrow"/>
        </w:rPr>
        <w:t>Se analiza el mecanismo de autodeclaración de pertenencia al pueblo Mapuche registrado en Intranet. Se deja constancia de que la normativa aplicable utiliza dicha autodeclaración como antecedente para la conformación del padrón electoral Mapuche. Durante la conversación se plantea la conveniencia de reforzar comunicacionalmente este mecanismo, a fin de que las personas que deseen participar en el padrón reservado puedan revisar y, en su caso, actualizar oportunamente sus antecedentes.</w:t>
      </w:r>
    </w:p>
    <w:p w14:paraId="5672FC8C" w14:textId="77777777" w:rsidR="006300D7" w:rsidRDefault="00000000">
      <w:pPr>
        <w:spacing w:before="100" w:after="100" w:line="240" w:lineRule="auto"/>
        <w:jc w:val="both"/>
      </w:pPr>
      <w:r>
        <w:rPr>
          <w:rFonts w:ascii="Arial Narrow" w:eastAsia="Arial Narrow" w:hAnsi="Arial Narrow" w:cs="Arial Narrow"/>
        </w:rPr>
        <w:t>Se revisa asimismo la posibilidad de inscripción de candidaturas vinculadas al escaño reservado mediante el mecanismo tradicional de trawün. Se señala que la normativa contempla esta alternativa, pero no desarrolla en detalle su forma de convocatoria, validación ni documentación. El Presidente de la Mesa Intercultural manifiesta que tanto la Mesa Intercultural como el Instituto de Estudios Indígenas podrían colaborar en la convocatoria, acompañamiento y validación institucional de estas instancias.</w:t>
      </w:r>
    </w:p>
    <w:p w14:paraId="144F711C" w14:textId="77777777" w:rsidR="006300D7" w:rsidRDefault="00000000">
      <w:pPr>
        <w:spacing w:before="100" w:after="100" w:line="240" w:lineRule="auto"/>
        <w:jc w:val="both"/>
      </w:pPr>
      <w:r>
        <w:rPr>
          <w:rFonts w:ascii="Arial Narrow" w:eastAsia="Arial Narrow" w:hAnsi="Arial Narrow" w:cs="Arial Narrow"/>
        </w:rPr>
        <w:t>Luego de deliberar, el TRICEL acuerda coordinar con la Mesa Intercultural y con el Instituto de Estudios Indígenas la realización y validación de eventuales trawün vinculados a la presentación de candidaturas. Se estima necesario que estas instancias generen un antecedente escrito que permita acreditar el resultado correspondiente y que dicha documentación sea remitida al Tribunal para su revisión. Se acuerda que, tratándose de candidaturas surgidas por esta vía, los antecedentes podrán ser recibidos hasta el 3 de septiembre de 2026, fecha en que el TRICEL efectuará la revisión de las postulaciones, sin alterar el plazo ordinario de inscripción previsto para las demás candidaturas.</w:t>
      </w:r>
    </w:p>
    <w:p w14:paraId="46B30860" w14:textId="77777777" w:rsidR="006300D7" w:rsidRDefault="00000000">
      <w:pPr>
        <w:spacing w:before="100" w:after="100" w:line="240" w:lineRule="auto"/>
        <w:jc w:val="both"/>
      </w:pPr>
      <w:r>
        <w:rPr>
          <w:rFonts w:ascii="Arial Narrow" w:eastAsia="Arial Narrow" w:hAnsi="Arial Narrow" w:cs="Arial Narrow"/>
        </w:rPr>
        <w:t>Se acuerda, además, remitir a la Mesa Intercultural los antecedentes normativos necesarios para que pueda colaborar en la difusión y coordinación del proceso, especialmente en lo relativo a la autodeclaración en Intranet, la conformación del padrón Mapuche y la vía de presentación de candidaturas mediante trawün.</w:t>
      </w:r>
    </w:p>
    <w:p w14:paraId="5D553678" w14:textId="77777777" w:rsidR="006300D7" w:rsidRDefault="00000000">
      <w:pPr>
        <w:spacing w:before="100" w:after="100" w:line="240" w:lineRule="auto"/>
        <w:jc w:val="both"/>
      </w:pPr>
      <w:r>
        <w:rPr>
          <w:rFonts w:ascii="Arial Narrow" w:eastAsia="Arial Narrow" w:hAnsi="Arial Narrow" w:cs="Arial Narrow"/>
        </w:rPr>
        <w:t>A continuación, el TRICEL analiza el Ordinario N°85 de Contraloría Universitaria, emitido en respuesta a las consultas formuladas por el Tribunal respecto de la conformación del estamento estudiantil y el escaño reservado Mapuche. Se deja constancia de que, conforme al pronunciamiento recibido, no procede agrupar las Facultades de Medicina y Odontología para efectos de la representación estudiantil y que el escaño reservado Mapuche no constituye un cupo adicional, sino que forma parte de los cupos correspondientes a las facultades.</w:t>
      </w:r>
    </w:p>
    <w:p w14:paraId="29179381" w14:textId="77777777" w:rsidR="006300D7" w:rsidRDefault="00000000">
      <w:pPr>
        <w:spacing w:before="100" w:after="100" w:line="240" w:lineRule="auto"/>
        <w:jc w:val="both"/>
      </w:pPr>
      <w:r>
        <w:rPr>
          <w:rFonts w:ascii="Arial Narrow" w:eastAsia="Arial Narrow" w:hAnsi="Arial Narrow" w:cs="Arial Narrow"/>
        </w:rPr>
        <w:lastRenderedPageBreak/>
        <w:t>Sobre dicha base, el TRICEL acuerda que, en el padrón estudiantil Mapuche, resultará electa la candidatura que obtenga el mayor número de votos. La persona así electa ocupará el cupo correspondiente a la facultad a la que se encuentre adscrita, de manera que el escaño reservado se integra dentro de la representación de las facultades y no se adiciona a ella. Se deja constancia de que el representante de posgrado corresponde a un cupo propio del estamento estudiantil y se mantiene sujeto a su padrón general.</w:t>
      </w:r>
    </w:p>
    <w:p w14:paraId="088283A6" w14:textId="77777777" w:rsidR="006300D7" w:rsidRDefault="00000000">
      <w:pPr>
        <w:spacing w:before="100" w:after="100" w:line="240" w:lineRule="auto"/>
        <w:jc w:val="both"/>
      </w:pPr>
      <w:r>
        <w:rPr>
          <w:rFonts w:ascii="Arial Narrow" w:eastAsia="Arial Narrow" w:hAnsi="Arial Narrow" w:cs="Arial Narrow"/>
        </w:rPr>
        <w:t>Se hace presente que, una vez determinado el escaño reservado Mapuche, deberá aplicarse la regla de equilibrio de género prevista para la integración de la Comisión. El Tribunal deja constancia de que dicha regla debe considerar la composición final de los siete cupos del estamento respectivo, incluyendo el escaño reservado que corresponda.</w:t>
      </w:r>
    </w:p>
    <w:p w14:paraId="12012B3C" w14:textId="77777777" w:rsidR="006300D7" w:rsidRDefault="00000000">
      <w:pPr>
        <w:spacing w:before="100" w:after="100" w:line="240" w:lineRule="auto"/>
        <w:jc w:val="both"/>
      </w:pPr>
      <w:r>
        <w:rPr>
          <w:rFonts w:ascii="Arial Narrow" w:eastAsia="Arial Narrow" w:hAnsi="Arial Narrow" w:cs="Arial Narrow"/>
        </w:rPr>
        <w:t>Enseguida, el Secretario General informa una situación relativa al Anexo N°1 sobre equilibrio de género, referido en la resolución que regula el proceso. Señala que dicho Anexo fue mencionado en el acto administrativo respectivo, pero no quedó materialmente incorporado a la resolución ni cuenta con un acto administrativo independiente que lo formalice. Atendido que el órgano que originalmente elaboró dicho antecedente ya no se encuentra funcionando, se plantea la necesidad de regularizar formalmente su existencia.</w:t>
      </w:r>
    </w:p>
    <w:p w14:paraId="51E44B8D" w14:textId="77777777" w:rsidR="006300D7" w:rsidRDefault="00000000">
      <w:pPr>
        <w:spacing w:before="100" w:after="100" w:line="240" w:lineRule="auto"/>
        <w:jc w:val="both"/>
      </w:pPr>
      <w:r>
        <w:rPr>
          <w:rFonts w:ascii="Arial Narrow" w:eastAsia="Arial Narrow" w:hAnsi="Arial Narrow" w:cs="Arial Narrow"/>
        </w:rPr>
        <w:t>Luego de deliberar, el TRICEL acuerda, por consenso, encomendar a Secretaría General la dictación del acto administrativo que formalice el Anexo N°1, de manera que su contenido pueda ser aplicado con certeza en el proceso electoral. Se deja constancia de que la Dirección de Equidad de Género no pudo participar en la presente sesión por razones de licencia de su titular y de quien la subroga, quedando prevista su asistencia para una sesión posterior.</w:t>
      </w:r>
    </w:p>
    <w:p w14:paraId="3E334740" w14:textId="77777777" w:rsidR="006300D7" w:rsidRDefault="00000000">
      <w:pPr>
        <w:spacing w:before="100" w:after="100" w:line="240" w:lineRule="auto"/>
        <w:jc w:val="both"/>
      </w:pPr>
      <w:r>
        <w:rPr>
          <w:rFonts w:ascii="Arial Narrow" w:eastAsia="Arial Narrow" w:hAnsi="Arial Narrow" w:cs="Arial Narrow"/>
        </w:rPr>
        <w:t>En relación con la identificación de género de las candidaturas, se acuerda que, al momento de la inscripción, las personas postulantes podrán manifestar el género con el cual se identifican para efectos de la aplicación de la regla de equilibrio. En caso de no efectuarse dicha manifestación, se considerará el antecedente registral disponible institucionalmente, sin perjuicio de las precisiones que puedan efectuarse con apoyo de la Dirección de Equidad de Género.</w:t>
      </w:r>
    </w:p>
    <w:p w14:paraId="504132B9" w14:textId="77777777" w:rsidR="006300D7" w:rsidRDefault="00000000">
      <w:pPr>
        <w:spacing w:before="100" w:after="100" w:line="240" w:lineRule="auto"/>
        <w:jc w:val="both"/>
      </w:pPr>
      <w:r>
        <w:rPr>
          <w:rFonts w:ascii="Arial Narrow" w:eastAsia="Arial Narrow" w:hAnsi="Arial Narrow" w:cs="Arial Narrow"/>
        </w:rPr>
        <w:t>Posteriormente se revisa el estado de los padrones electorales. Se señala que la nómina disponible tiene carácter provisional y que, antes de su difusión, deberá ser revisada y filtrada para excluir datos personales que no resulten necesarios para que cada integrante de la comunidad pueda verificar su incorporación. Se acuerda que la publicación contenga únicamente los antecedentes indispensables para identificar a la persona y el estamento en el que figura, permitiendo que las observaciones y correcciones se efectúen durante el período previsto para ello.</w:t>
      </w:r>
    </w:p>
    <w:p w14:paraId="7043C031" w14:textId="77777777" w:rsidR="006300D7" w:rsidRDefault="00000000">
      <w:pPr>
        <w:spacing w:before="100" w:after="100" w:line="240" w:lineRule="auto"/>
        <w:jc w:val="both"/>
      </w:pPr>
      <w:r>
        <w:rPr>
          <w:rFonts w:ascii="Arial Narrow" w:eastAsia="Arial Narrow" w:hAnsi="Arial Narrow" w:cs="Arial Narrow"/>
        </w:rPr>
        <w:t>Se deja constancia de que la publicación de los padrones provisionales deberá ir acompañada de una comunicación clara que explique su carácter preliminar y la posibilidad de formular observaciones. Se acuerda reforzar especialmente la revisión de personas que ejercen cargos directivos u otras funciones cuya clasificación pudiera requerir corrección antes de la confección del padrón definitivo.</w:t>
      </w:r>
    </w:p>
    <w:p w14:paraId="72310199" w14:textId="77777777" w:rsidR="006300D7" w:rsidRDefault="00000000">
      <w:pPr>
        <w:spacing w:before="100" w:after="100" w:line="240" w:lineRule="auto"/>
        <w:jc w:val="both"/>
      </w:pPr>
      <w:r>
        <w:rPr>
          <w:rFonts w:ascii="Arial Narrow" w:eastAsia="Arial Narrow" w:hAnsi="Arial Narrow" w:cs="Arial Narrow"/>
        </w:rPr>
        <w:t>Durante este punto se revisa, además, una comunicación institucional anterior en la que se utilizó la expresión de que quienes se autodeclararan Mapuche votarían "exclusivamente" en dicho padrón. El Tribunal advierte que dicha expresión puede inducir a confusión y acuerda que la siguiente comunicación incluya una aclaración expresa, eliminando el carácter excluyente atribuido de manera general a la declaración de pertenencia y explicando que la opción de padrón deberá quedar definida con anterioridad a la votación, atendidas las características técnicas de la plataforma electrónica.</w:t>
      </w:r>
    </w:p>
    <w:p w14:paraId="5D1736B4" w14:textId="77777777" w:rsidR="006300D7" w:rsidRDefault="00000000">
      <w:pPr>
        <w:spacing w:before="100" w:after="100" w:line="240" w:lineRule="auto"/>
        <w:jc w:val="both"/>
      </w:pPr>
      <w:r>
        <w:rPr>
          <w:rFonts w:ascii="Arial Narrow" w:eastAsia="Arial Narrow" w:hAnsi="Arial Narrow" w:cs="Arial Narrow"/>
        </w:rPr>
        <w:t xml:space="preserve">Se señala que la plataforma no permite que una misma persona reciba simultáneamente dos papeletas y seleccione una de ellas al momento de votar sin riesgo de duplicidad. En </w:t>
      </w:r>
      <w:r>
        <w:rPr>
          <w:rFonts w:ascii="Arial Narrow" w:eastAsia="Arial Narrow" w:hAnsi="Arial Narrow" w:cs="Arial Narrow"/>
        </w:rPr>
        <w:lastRenderedPageBreak/>
        <w:t>consecuencia, la definición de la opción electoral de quienes se encuentren habilitados para participar en el padrón Mapuche deberá resolverse previamente, durante la etapa de conformación y revisión de los padrones. El mecanismo operativo específico deberá ser informado oportunamente a las personas involucradas.</w:t>
      </w:r>
    </w:p>
    <w:p w14:paraId="74BD6EEF" w14:textId="77777777" w:rsidR="00375E52" w:rsidRDefault="00000000" w:rsidP="00375E52">
      <w:pPr>
        <w:spacing w:before="100" w:after="100" w:line="240" w:lineRule="auto"/>
        <w:jc w:val="both"/>
        <w:rPr>
          <w:rFonts w:ascii="Arial Narrow" w:eastAsia="Arial Narrow" w:hAnsi="Arial Narrow" w:cs="Arial Narrow"/>
        </w:rPr>
      </w:pPr>
      <w:r>
        <w:rPr>
          <w:rFonts w:ascii="Arial Narrow" w:eastAsia="Arial Narrow" w:hAnsi="Arial Narrow" w:cs="Arial Narrow"/>
        </w:rPr>
        <w:t>Finalmente, se acuerda que las próximas comunicaciones del TRICEL deberán mantener un lenguaje claro y uniforme, corregir oportunamente cualquier información que pueda inducir a error y ser revisadas conforme al mecanismo de visación acordado durante la sesión. Se recuerda que el padrón provisional deberá difundirse a partir de la semana siguiente, una vez efectuadas las revisiones y depuraciones correspondientes</w:t>
      </w:r>
      <w:r w:rsidR="00375E52">
        <w:rPr>
          <w:rFonts w:ascii="Arial Narrow" w:eastAsia="Arial Narrow" w:hAnsi="Arial Narrow" w:cs="Arial Narrow"/>
        </w:rPr>
        <w:t xml:space="preserve">.  </w:t>
      </w:r>
    </w:p>
    <w:p w14:paraId="23C483A8" w14:textId="2255B3B2" w:rsidR="00375E52" w:rsidRDefault="00375E52" w:rsidP="00375E52">
      <w:pPr>
        <w:spacing w:before="100" w:after="100" w:line="240" w:lineRule="auto"/>
        <w:jc w:val="both"/>
        <w:rPr>
          <w:rFonts w:ascii="Arial Narrow" w:eastAsia="Arial Narrow" w:hAnsi="Arial Narrow" w:cs="Arial Narrow"/>
        </w:rPr>
      </w:pPr>
      <w:r>
        <w:rPr>
          <w:rFonts w:ascii="Arial Narrow" w:eastAsia="Arial Narrow" w:hAnsi="Arial Narrow" w:cs="Arial Narrow"/>
        </w:rPr>
        <w:t>No habiendo otros puntos que tratar, se levanta la sesión siendo las 13:03 horas.</w:t>
      </w:r>
      <w:r w:rsidRPr="00375E52">
        <w:rPr>
          <w:rFonts w:ascii="Arial Narrow" w:eastAsia="Arial Narrow" w:hAnsi="Arial Narrow" w:cs="Arial Narrow"/>
        </w:rPr>
        <w:t xml:space="preserve"> </w:t>
      </w:r>
      <w:r>
        <w:rPr>
          <w:rFonts w:ascii="Arial Narrow" w:eastAsia="Arial Narrow" w:hAnsi="Arial Narrow" w:cs="Arial Narrow"/>
        </w:rPr>
        <w:t>Firman para constancia:</w:t>
      </w:r>
    </w:p>
    <w:p w14:paraId="3746E1B8" w14:textId="77777777" w:rsidR="00375E52" w:rsidRDefault="00375E52" w:rsidP="00375E52">
      <w:pPr>
        <w:spacing w:before="100" w:after="100" w:line="240" w:lineRule="auto"/>
        <w:jc w:val="both"/>
        <w:rPr>
          <w:rFonts w:ascii="Arial Narrow" w:eastAsia="Arial Narrow" w:hAnsi="Arial Narrow" w:cs="Arial Narrow"/>
        </w:rPr>
      </w:pPr>
    </w:p>
    <w:p w14:paraId="67049BB8" w14:textId="77777777" w:rsidR="00375E52" w:rsidRDefault="00375E52" w:rsidP="00375E52">
      <w:pPr>
        <w:spacing w:before="100" w:after="100" w:line="240" w:lineRule="auto"/>
        <w:jc w:val="both"/>
        <w:rPr>
          <w:rFonts w:ascii="Arial Narrow" w:eastAsia="Arial Narrow" w:hAnsi="Arial Narrow" w:cs="Arial Narrow"/>
        </w:rPr>
      </w:pPr>
    </w:p>
    <w:p w14:paraId="22448B2A" w14:textId="77777777" w:rsidR="00375E52" w:rsidRDefault="00375E52" w:rsidP="00375E52">
      <w:pPr>
        <w:spacing w:before="100" w:after="100" w:line="240" w:lineRule="auto"/>
        <w:jc w:val="both"/>
        <w:rPr>
          <w:rFonts w:ascii="Arial Narrow" w:eastAsia="Arial Narrow" w:hAnsi="Arial Narrow" w:cs="Arial Narrow"/>
        </w:rPr>
      </w:pPr>
    </w:p>
    <w:p w14:paraId="68386B3E" w14:textId="77777777" w:rsidR="00375E52" w:rsidRDefault="00375E52" w:rsidP="00375E52">
      <w:pPr>
        <w:spacing w:before="100" w:after="100" w:line="240" w:lineRule="auto"/>
        <w:jc w:val="both"/>
        <w:rPr>
          <w:rFonts w:ascii="Arial Narrow" w:eastAsia="Arial Narrow" w:hAnsi="Arial Narrow" w:cs="Arial Narrow"/>
        </w:rPr>
      </w:pPr>
    </w:p>
    <w:p w14:paraId="48B8E0C3" w14:textId="77777777" w:rsidR="00375E52" w:rsidRDefault="00375E52" w:rsidP="00375E52">
      <w:pPr>
        <w:spacing w:before="100" w:after="100" w:line="240" w:lineRule="auto"/>
        <w:jc w:val="center"/>
      </w:pPr>
      <w:r>
        <w:rPr>
          <w:rFonts w:ascii="Arial Narrow" w:eastAsia="Arial Narrow" w:hAnsi="Arial Narrow" w:cs="Arial Narrow"/>
        </w:rPr>
        <w:t>Andrés Eduardo Sáez Geoffroy</w:t>
      </w:r>
    </w:p>
    <w:p w14:paraId="77937CA4" w14:textId="77777777" w:rsidR="00375E52" w:rsidRDefault="00375E52" w:rsidP="00375E52">
      <w:pPr>
        <w:spacing w:before="100" w:after="100" w:line="240" w:lineRule="auto"/>
        <w:jc w:val="center"/>
      </w:pPr>
      <w:r>
        <w:rPr>
          <w:rFonts w:ascii="Arial Narrow" w:eastAsia="Arial Narrow" w:hAnsi="Arial Narrow" w:cs="Arial Narrow"/>
        </w:rPr>
        <w:t>Presidente TRICEL</w:t>
      </w:r>
    </w:p>
    <w:p w14:paraId="70219DAE" w14:textId="77777777" w:rsidR="00375E52" w:rsidRDefault="00375E52" w:rsidP="00375E52">
      <w:pPr>
        <w:spacing w:before="100" w:after="100" w:line="240" w:lineRule="auto"/>
        <w:jc w:val="center"/>
      </w:pPr>
    </w:p>
    <w:p w14:paraId="54AB1106" w14:textId="77777777" w:rsidR="00375E52" w:rsidRDefault="00375E52" w:rsidP="00375E52">
      <w:pPr>
        <w:spacing w:before="100" w:after="100" w:line="240" w:lineRule="auto"/>
        <w:jc w:val="center"/>
      </w:pPr>
    </w:p>
    <w:p w14:paraId="41B8F3EA" w14:textId="77777777" w:rsidR="00375E52" w:rsidRDefault="00375E52" w:rsidP="00375E52">
      <w:pPr>
        <w:spacing w:before="100" w:after="100" w:line="240" w:lineRule="auto"/>
        <w:jc w:val="center"/>
      </w:pPr>
    </w:p>
    <w:p w14:paraId="6F721E96" w14:textId="77777777" w:rsidR="00375E52" w:rsidRDefault="00375E52" w:rsidP="00375E52">
      <w:pPr>
        <w:spacing w:before="100" w:after="100" w:line="240" w:lineRule="auto"/>
        <w:jc w:val="center"/>
      </w:pPr>
      <w:r>
        <w:rPr>
          <w:rFonts w:ascii="Arial Narrow" w:eastAsia="Arial Narrow" w:hAnsi="Arial Narrow" w:cs="Arial Narrow"/>
        </w:rPr>
        <w:t>Juan Carlos Guajardo Puga</w:t>
      </w:r>
    </w:p>
    <w:p w14:paraId="080C64BF" w14:textId="77777777" w:rsidR="00375E52" w:rsidRDefault="00375E52" w:rsidP="00375E52">
      <w:pPr>
        <w:spacing w:before="100" w:after="100" w:line="240" w:lineRule="auto"/>
        <w:jc w:val="center"/>
      </w:pPr>
      <w:r>
        <w:rPr>
          <w:rFonts w:ascii="Arial Narrow" w:eastAsia="Arial Narrow" w:hAnsi="Arial Narrow" w:cs="Arial Narrow"/>
        </w:rPr>
        <w:t>Secretario General</w:t>
      </w:r>
    </w:p>
    <w:p w14:paraId="6697AEDC" w14:textId="0ED0F58B" w:rsidR="006300D7" w:rsidRPr="00375E52" w:rsidRDefault="00375E52" w:rsidP="00375E52">
      <w:pPr>
        <w:spacing w:before="100" w:after="100" w:line="240" w:lineRule="auto"/>
        <w:jc w:val="center"/>
        <w:rPr>
          <w:rFonts w:ascii="Arial Narrow" w:eastAsia="Arial Narrow" w:hAnsi="Arial Narrow" w:cs="Arial Narrow"/>
        </w:rPr>
      </w:pPr>
      <w:r>
        <w:rPr>
          <w:rFonts w:ascii="Arial Narrow" w:eastAsia="Arial Narrow" w:hAnsi="Arial Narrow" w:cs="Arial Narrow"/>
        </w:rPr>
        <w:t>Ministro de fe TRICEL</w:t>
      </w:r>
    </w:p>
    <w:sectPr w:rsidR="006300D7" w:rsidRPr="00375E5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D56FA"/>
    <w:multiLevelType w:val="hybridMultilevel"/>
    <w:tmpl w:val="DB4210E0"/>
    <w:lvl w:ilvl="0" w:tplc="6DCC8C18">
      <w:start w:val="5"/>
      <w:numFmt w:val="bullet"/>
      <w:lvlText w:val="-"/>
      <w:lvlJc w:val="left"/>
      <w:pPr>
        <w:ind w:left="720" w:hanging="360"/>
      </w:pPr>
      <w:rPr>
        <w:rFonts w:ascii="Times New Roman" w:eastAsia="Times New Roman" w:hAnsi="Times New Roman" w:cs="Times New Roman"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 w15:restartNumberingAfterBreak="0">
    <w:nsid w:val="361D4437"/>
    <w:multiLevelType w:val="hybridMultilevel"/>
    <w:tmpl w:val="C11833A8"/>
    <w:lvl w:ilvl="0" w:tplc="1F6CB2EE">
      <w:start w:val="5"/>
      <w:numFmt w:val="bullet"/>
      <w:lvlText w:val="-"/>
      <w:lvlJc w:val="left"/>
      <w:pPr>
        <w:ind w:left="720" w:hanging="360"/>
      </w:pPr>
      <w:rPr>
        <w:rFonts w:ascii="Times New Roman" w:eastAsia="Times New Roman" w:hAnsi="Times New Roman" w:cs="Times New Roman"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54D81D93"/>
    <w:multiLevelType w:val="multilevel"/>
    <w:tmpl w:val="B4024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39A5F33"/>
    <w:multiLevelType w:val="hybridMultilevel"/>
    <w:tmpl w:val="8A00915C"/>
    <w:lvl w:ilvl="0" w:tplc="BF90B22A">
      <w:start w:val="5"/>
      <w:numFmt w:val="bullet"/>
      <w:lvlText w:val="-"/>
      <w:lvlJc w:val="left"/>
      <w:pPr>
        <w:ind w:left="720" w:hanging="360"/>
      </w:pPr>
      <w:rPr>
        <w:rFonts w:ascii="Times New Roman" w:eastAsia="Times New Roman" w:hAnsi="Times New Roman" w:cs="Times New Roman"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4" w15:restartNumberingAfterBreak="0">
    <w:nsid w:val="68CB0AC8"/>
    <w:multiLevelType w:val="hybridMultilevel"/>
    <w:tmpl w:val="FCA621A8"/>
    <w:lvl w:ilvl="0" w:tplc="6DCC8C18">
      <w:start w:val="5"/>
      <w:numFmt w:val="bullet"/>
      <w:lvlText w:val="-"/>
      <w:lvlJc w:val="left"/>
      <w:pPr>
        <w:ind w:left="720" w:hanging="360"/>
      </w:pPr>
      <w:rPr>
        <w:rFonts w:ascii="Times New Roman" w:eastAsia="Times New Roman" w:hAnsi="Times New Roman" w:cs="Times New Roman"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16cid:durableId="1279147669">
    <w:abstractNumId w:val="2"/>
  </w:num>
  <w:num w:numId="2" w16cid:durableId="406660103">
    <w:abstractNumId w:val="3"/>
  </w:num>
  <w:num w:numId="3" w16cid:durableId="291254066">
    <w:abstractNumId w:val="1"/>
  </w:num>
  <w:num w:numId="4" w16cid:durableId="576283543">
    <w:abstractNumId w:val="4"/>
  </w:num>
  <w:num w:numId="5" w16cid:durableId="757130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66DC"/>
    <w:rsid w:val="001529C0"/>
    <w:rsid w:val="00375E52"/>
    <w:rsid w:val="003A301F"/>
    <w:rsid w:val="003A39F4"/>
    <w:rsid w:val="00442143"/>
    <w:rsid w:val="004A0030"/>
    <w:rsid w:val="00516FAE"/>
    <w:rsid w:val="006300D7"/>
    <w:rsid w:val="006376BF"/>
    <w:rsid w:val="0067298C"/>
    <w:rsid w:val="00713658"/>
    <w:rsid w:val="0075614E"/>
    <w:rsid w:val="007F4765"/>
    <w:rsid w:val="0088046C"/>
    <w:rsid w:val="00880BCB"/>
    <w:rsid w:val="00880EF9"/>
    <w:rsid w:val="00957F70"/>
    <w:rsid w:val="00A20FD2"/>
    <w:rsid w:val="00A767E6"/>
    <w:rsid w:val="00B066DC"/>
    <w:rsid w:val="00C43F8A"/>
    <w:rsid w:val="00DA3DBF"/>
    <w:rsid w:val="00E16717"/>
    <w:rsid w:val="00EE588F"/>
    <w:rsid w:val="00F93954"/>
    <w:rsid w:val="00F96D3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C50848"/>
  <w15:chartTrackingRefBased/>
  <w15:docId w15:val="{9F06511B-15BB-FA48-A5B4-6F2423727A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066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B066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B066D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066D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066D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066D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066D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066D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066D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066DC"/>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B066DC"/>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B066DC"/>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066DC"/>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066DC"/>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066D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066D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066D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066DC"/>
    <w:rPr>
      <w:rFonts w:eastAsiaTheme="majorEastAsia" w:cstheme="majorBidi"/>
      <w:color w:val="272727" w:themeColor="text1" w:themeTint="D8"/>
    </w:rPr>
  </w:style>
  <w:style w:type="paragraph" w:styleId="Ttulo">
    <w:name w:val="Title"/>
    <w:basedOn w:val="Normal"/>
    <w:next w:val="Normal"/>
    <w:link w:val="TtuloCar"/>
    <w:uiPriority w:val="10"/>
    <w:qFormat/>
    <w:rsid w:val="00B066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066D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066D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066D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066DC"/>
    <w:pPr>
      <w:spacing w:before="160"/>
      <w:jc w:val="center"/>
    </w:pPr>
    <w:rPr>
      <w:i/>
      <w:iCs/>
      <w:color w:val="404040" w:themeColor="text1" w:themeTint="BF"/>
    </w:rPr>
  </w:style>
  <w:style w:type="character" w:customStyle="1" w:styleId="CitaCar">
    <w:name w:val="Cita Car"/>
    <w:basedOn w:val="Fuentedeprrafopredeter"/>
    <w:link w:val="Cita"/>
    <w:uiPriority w:val="29"/>
    <w:rsid w:val="00B066DC"/>
    <w:rPr>
      <w:i/>
      <w:iCs/>
      <w:color w:val="404040" w:themeColor="text1" w:themeTint="BF"/>
    </w:rPr>
  </w:style>
  <w:style w:type="paragraph" w:styleId="Prrafodelista">
    <w:name w:val="List Paragraph"/>
    <w:basedOn w:val="Normal"/>
    <w:uiPriority w:val="34"/>
    <w:qFormat/>
    <w:rsid w:val="00B066DC"/>
    <w:pPr>
      <w:ind w:left="720"/>
      <w:contextualSpacing/>
    </w:pPr>
  </w:style>
  <w:style w:type="character" w:styleId="nfasisintenso">
    <w:name w:val="Intense Emphasis"/>
    <w:basedOn w:val="Fuentedeprrafopredeter"/>
    <w:uiPriority w:val="21"/>
    <w:qFormat/>
    <w:rsid w:val="00B066DC"/>
    <w:rPr>
      <w:i/>
      <w:iCs/>
      <w:color w:val="0F4761" w:themeColor="accent1" w:themeShade="BF"/>
    </w:rPr>
  </w:style>
  <w:style w:type="paragraph" w:styleId="Citadestacada">
    <w:name w:val="Intense Quote"/>
    <w:basedOn w:val="Normal"/>
    <w:next w:val="Normal"/>
    <w:link w:val="CitadestacadaCar"/>
    <w:uiPriority w:val="30"/>
    <w:qFormat/>
    <w:rsid w:val="00B066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066DC"/>
    <w:rPr>
      <w:i/>
      <w:iCs/>
      <w:color w:val="0F4761" w:themeColor="accent1" w:themeShade="BF"/>
    </w:rPr>
  </w:style>
  <w:style w:type="character" w:styleId="Referenciaintensa">
    <w:name w:val="Intense Reference"/>
    <w:basedOn w:val="Fuentedeprrafopredeter"/>
    <w:uiPriority w:val="32"/>
    <w:qFormat/>
    <w:rsid w:val="00B066DC"/>
    <w:rPr>
      <w:b/>
      <w:bCs/>
      <w:smallCaps/>
      <w:color w:val="0F4761" w:themeColor="accent1" w:themeShade="BF"/>
      <w:spacing w:val="5"/>
    </w:rPr>
  </w:style>
  <w:style w:type="paragraph" w:styleId="NormalWeb">
    <w:name w:val="Normal (Web)"/>
    <w:basedOn w:val="Normal"/>
    <w:uiPriority w:val="99"/>
    <w:semiHidden/>
    <w:unhideWhenUsed/>
    <w:rsid w:val="00B066DC"/>
    <w:pPr>
      <w:spacing w:before="100" w:beforeAutospacing="1" w:after="100" w:afterAutospacing="1" w:line="240" w:lineRule="auto"/>
    </w:pPr>
    <w:rPr>
      <w:rFonts w:ascii="Times New Roman" w:eastAsia="Times New Roman" w:hAnsi="Times New Roman" w:cs="Times New Roman"/>
      <w:kern w:val="0"/>
      <w:lang w:eastAsia="es-ES_tradnl"/>
      <w14:ligatures w14:val="none"/>
    </w:rPr>
  </w:style>
  <w:style w:type="character" w:styleId="Fuerte">
    <w:name w:val="Strong"/>
    <w:basedOn w:val="Fuentedeprrafopredeter"/>
    <w:uiPriority w:val="22"/>
    <w:qFormat/>
    <w:rsid w:val="00B066D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2359</Words>
  <Characters>12977</Characters>
  <Application>Microsoft Office Word</Application>
  <DocSecurity>0</DocSecurity>
  <Lines>108</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Carlos Guajardo Puga</dc:creator>
  <cp:keywords/>
  <dc:description/>
  <cp:lastModifiedBy>Andrés Sáez Geoffroy</cp:lastModifiedBy>
  <cp:revision>4</cp:revision>
  <dcterms:created xsi:type="dcterms:W3CDTF">2026-08-27T13:42:00Z</dcterms:created>
  <dcterms:modified xsi:type="dcterms:W3CDTF">2026-09-10T23:55:00Z</dcterms:modified>
</cp:coreProperties>
</file>