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5AFE0" w14:textId="77777777" w:rsidR="001529C0" w:rsidRDefault="00000000">
      <w:pPr>
        <w:spacing w:after="0" w:line="360" w:lineRule="auto"/>
        <w:jc w:val="center"/>
        <w:rPr>
          <w:rFonts w:ascii="Arial Narrow" w:eastAsia="Times New Roman" w:hAnsi="Arial Narrow" w:cs="Arial"/>
          <w:smallCaps/>
          <w:kern w:val="0"/>
          <w:lang w:eastAsia="es-ES_tradnl"/>
          <w14:ligatures w14:val="none"/>
        </w:rPr>
      </w:pPr>
      <w:r>
        <w:rPr>
          <w:rFonts w:ascii="Arial Narrow" w:eastAsia="Arial Narrow" w:hAnsi="Arial Narrow"/>
          <w:smallCaps/>
        </w:rPr>
        <w:t>Acta de Sesión del Tribunal Calificador de Elecciones TRICEL.</w:t>
      </w:r>
      <w:r>
        <w:rPr>
          <w:rFonts w:ascii="Arial Narrow" w:eastAsia="Arial Narrow" w:hAnsi="Arial Narrow"/>
          <w:smallCaps/>
        </w:rPr>
        <w:br/>
        <w:t>Proceso De Elección De La Comisión Triestamental</w:t>
      </w:r>
    </w:p>
    <w:p w14:paraId="0D58FF44" w14:textId="77777777" w:rsidR="001529C0" w:rsidRDefault="00000000">
      <w:pPr>
        <w:spacing w:before="100" w:beforeAutospacing="1" w:after="100" w:afterAutospacing="1" w:line="240" w:lineRule="auto"/>
        <w:rPr>
          <w:rFonts w:ascii="Arial Narrow" w:eastAsia="Times New Roman" w:hAnsi="Arial Narrow" w:cs="Arial"/>
          <w:kern w:val="0"/>
          <w:lang w:eastAsia="es-ES_tradnl"/>
          <w14:ligatures w14:val="none"/>
        </w:rPr>
      </w:pPr>
      <w:r>
        <w:rPr>
          <w:rFonts w:ascii="Arial Narrow" w:eastAsia="Arial Narrow" w:hAnsi="Arial Narrow"/>
        </w:rPr>
        <w:t>Número de sesión: 2.</w:t>
      </w:r>
    </w:p>
    <w:p w14:paraId="2A4593D8" w14:textId="77777777" w:rsidR="001529C0" w:rsidRDefault="00000000">
      <w:pPr>
        <w:spacing w:before="100" w:beforeAutospacing="1" w:after="100" w:afterAutospacing="1" w:line="240" w:lineRule="auto"/>
        <w:rPr>
          <w:rFonts w:ascii="Arial Narrow" w:eastAsia="Times New Roman" w:hAnsi="Arial Narrow" w:cs="Arial"/>
          <w:kern w:val="0"/>
          <w:lang w:eastAsia="es-ES_tradnl"/>
          <w14:ligatures w14:val="none"/>
        </w:rPr>
      </w:pPr>
      <w:r>
        <w:rPr>
          <w:rFonts w:ascii="Arial Narrow" w:eastAsia="Arial Narrow" w:hAnsi="Arial Narrow"/>
        </w:rPr>
        <w:t>Tipo de sesión: ordinaria.</w:t>
      </w:r>
    </w:p>
    <w:p w14:paraId="4A458B87" w14:textId="77777777" w:rsidR="001529C0" w:rsidRDefault="00000000">
      <w:pPr>
        <w:spacing w:before="100" w:beforeAutospacing="1" w:after="100" w:afterAutospacing="1" w:line="240" w:lineRule="auto"/>
        <w:rPr>
          <w:rFonts w:ascii="Arial Narrow" w:eastAsia="Times New Roman" w:hAnsi="Arial Narrow" w:cs="Arial"/>
          <w:kern w:val="0"/>
          <w:lang w:eastAsia="es-ES_tradnl"/>
          <w14:ligatures w14:val="none"/>
        </w:rPr>
      </w:pPr>
      <w:r>
        <w:rPr>
          <w:rFonts w:ascii="Arial Narrow" w:eastAsia="Arial Narrow" w:hAnsi="Arial Narrow"/>
        </w:rPr>
        <w:t>Fecha: 9 de julio de 2026.</w:t>
      </w:r>
    </w:p>
    <w:p w14:paraId="69068D83" w14:textId="77777777" w:rsidR="001529C0" w:rsidRDefault="00000000">
      <w:pPr>
        <w:spacing w:before="100" w:beforeAutospacing="1" w:after="100" w:afterAutospacing="1" w:line="240" w:lineRule="auto"/>
        <w:rPr>
          <w:rFonts w:ascii="Arial Narrow" w:eastAsia="Times New Roman" w:hAnsi="Arial Narrow" w:cs="Arial"/>
          <w:kern w:val="0"/>
          <w:lang w:eastAsia="es-ES_tradnl"/>
          <w14:ligatures w14:val="none"/>
        </w:rPr>
      </w:pPr>
      <w:r>
        <w:rPr>
          <w:rFonts w:ascii="Arial Narrow" w:eastAsia="Arial Narrow" w:hAnsi="Arial Narrow"/>
        </w:rPr>
        <w:t>Lugar: Sala de Consejo de Rectoría.</w:t>
      </w:r>
    </w:p>
    <w:p w14:paraId="3B6FC1C4" w14:textId="73DE6A4A" w:rsidR="001529C0" w:rsidRDefault="00000000">
      <w:pPr>
        <w:spacing w:before="100" w:beforeAutospacing="1" w:after="100" w:afterAutospacing="1" w:line="240" w:lineRule="auto"/>
        <w:rPr>
          <w:rFonts w:ascii="Arial Narrow" w:eastAsia="Times New Roman" w:hAnsi="Arial Narrow" w:cs="Arial"/>
          <w:kern w:val="0"/>
          <w:lang w:eastAsia="es-ES_tradnl"/>
          <w14:ligatures w14:val="none"/>
        </w:rPr>
      </w:pPr>
      <w:r>
        <w:rPr>
          <w:rFonts w:ascii="Arial Narrow" w:eastAsia="Arial Narrow" w:hAnsi="Arial Narrow"/>
        </w:rPr>
        <w:t>Hora de inicio: 11:</w:t>
      </w:r>
      <w:r w:rsidR="00957F70">
        <w:rPr>
          <w:rFonts w:ascii="Arial Narrow" w:eastAsia="Arial Narrow" w:hAnsi="Arial Narrow"/>
        </w:rPr>
        <w:t>10</w:t>
      </w:r>
      <w:r>
        <w:rPr>
          <w:rFonts w:ascii="Arial Narrow" w:eastAsia="Arial Narrow" w:hAnsi="Arial Narrow"/>
        </w:rPr>
        <w:t xml:space="preserve"> horas.</w:t>
      </w:r>
    </w:p>
    <w:p w14:paraId="49695A9D" w14:textId="77777777" w:rsidR="001529C0" w:rsidRDefault="00000000">
      <w:pPr>
        <w:spacing w:before="100" w:beforeAutospacing="1" w:after="100" w:afterAutospacing="1" w:line="240" w:lineRule="auto"/>
        <w:rPr>
          <w:rFonts w:ascii="Arial Narrow" w:eastAsia="Times New Roman" w:hAnsi="Arial Narrow" w:cs="Arial"/>
          <w:kern w:val="0"/>
          <w:lang w:eastAsia="es-ES_tradnl"/>
          <w14:ligatures w14:val="none"/>
        </w:rPr>
      </w:pPr>
      <w:r>
        <w:rPr>
          <w:rFonts w:ascii="Arial Narrow" w:eastAsia="Arial Narrow" w:hAnsi="Arial Narrow"/>
        </w:rPr>
        <w:t>Hora de término: 13:00 horas.</w:t>
      </w:r>
    </w:p>
    <w:p w14:paraId="69C60DC7" w14:textId="77777777" w:rsidR="001529C0" w:rsidRDefault="00000000">
      <w:pPr>
        <w:spacing w:before="100" w:beforeAutospacing="1" w:after="100" w:afterAutospacing="1" w:line="240" w:lineRule="auto"/>
        <w:rPr>
          <w:rFonts w:ascii="Arial Narrow" w:eastAsia="Times New Roman" w:hAnsi="Arial Narrow" w:cs="Arial"/>
          <w:kern w:val="0"/>
          <w:lang w:eastAsia="es-ES_tradnl"/>
          <w14:ligatures w14:val="none"/>
        </w:rPr>
      </w:pPr>
      <w:r>
        <w:rPr>
          <w:rFonts w:ascii="Arial Narrow" w:eastAsia="Arial Narrow" w:hAnsi="Arial Narrow"/>
        </w:rPr>
        <w:t xml:space="preserve">Integrantes asistentes: </w:t>
      </w:r>
    </w:p>
    <w:p w14:paraId="6E0B75D7" w14:textId="77777777" w:rsidR="001529C0" w:rsidRDefault="00000000">
      <w:pPr>
        <w:pStyle w:val="Prrafodelista"/>
        <w:numPr>
          <w:ilvl w:val="0"/>
          <w:numId w:val="4"/>
        </w:numPr>
        <w:spacing w:before="100" w:beforeAutospacing="1" w:after="100" w:afterAutospacing="1" w:line="240" w:lineRule="auto"/>
        <w:rPr>
          <w:rFonts w:ascii="Arial Narrow" w:eastAsia="Times New Roman" w:hAnsi="Arial Narrow" w:cs="Arial"/>
          <w:kern w:val="0"/>
          <w:lang w:eastAsia="es-ES_tradnl"/>
          <w14:ligatures w14:val="none"/>
        </w:rPr>
      </w:pPr>
      <w:r>
        <w:rPr>
          <w:rFonts w:ascii="Arial Narrow" w:eastAsia="Arial Narrow" w:hAnsi="Arial Narrow"/>
        </w:rPr>
        <w:t>Christian Arnoldo Vergara Ojeda, representante titular del estamento académico.</w:t>
      </w:r>
    </w:p>
    <w:p w14:paraId="48B49E2F" w14:textId="77777777" w:rsidR="001529C0" w:rsidRDefault="00000000">
      <w:pPr>
        <w:pStyle w:val="Prrafodelista"/>
        <w:numPr>
          <w:ilvl w:val="0"/>
          <w:numId w:val="4"/>
        </w:numPr>
        <w:spacing w:before="100" w:beforeAutospacing="1" w:after="100" w:afterAutospacing="1" w:line="240" w:lineRule="auto"/>
        <w:rPr>
          <w:rFonts w:ascii="Arial Narrow" w:eastAsia="Times New Roman" w:hAnsi="Arial Narrow" w:cs="Arial"/>
          <w:kern w:val="0"/>
          <w:lang w:eastAsia="es-ES_tradnl"/>
          <w14:ligatures w14:val="none"/>
        </w:rPr>
      </w:pPr>
      <w:r>
        <w:rPr>
          <w:rFonts w:ascii="Arial Narrow" w:eastAsia="Arial Narrow" w:hAnsi="Arial Narrow"/>
        </w:rPr>
        <w:t>Andrés Eduardo Sáez Geoffroy, representante titular del estamento académico.</w:t>
      </w:r>
    </w:p>
    <w:p w14:paraId="54254C43" w14:textId="77777777" w:rsidR="001529C0" w:rsidRDefault="00000000">
      <w:pPr>
        <w:pStyle w:val="Prrafodelista"/>
        <w:numPr>
          <w:ilvl w:val="0"/>
          <w:numId w:val="4"/>
        </w:numPr>
        <w:spacing w:before="100" w:beforeAutospacing="1" w:after="100" w:afterAutospacing="1" w:line="240" w:lineRule="auto"/>
        <w:rPr>
          <w:rFonts w:ascii="Arial Narrow" w:eastAsia="Times New Roman" w:hAnsi="Arial Narrow" w:cs="Arial"/>
          <w:kern w:val="0"/>
          <w:lang w:eastAsia="es-ES_tradnl"/>
          <w14:ligatures w14:val="none"/>
        </w:rPr>
      </w:pPr>
      <w:r>
        <w:rPr>
          <w:rFonts w:ascii="Arial Narrow" w:eastAsia="Arial Narrow" w:hAnsi="Arial Narrow"/>
        </w:rPr>
        <w:t>Jaime Andrés Tijmes Ihl, representante titular del estamento académico.</w:t>
      </w:r>
    </w:p>
    <w:p w14:paraId="35EB825A" w14:textId="77777777" w:rsidR="001529C0" w:rsidRDefault="00000000">
      <w:pPr>
        <w:pStyle w:val="Prrafodelista"/>
        <w:numPr>
          <w:ilvl w:val="0"/>
          <w:numId w:val="4"/>
        </w:numPr>
        <w:spacing w:before="100" w:beforeAutospacing="1" w:after="100" w:afterAutospacing="1" w:line="240" w:lineRule="auto"/>
        <w:rPr>
          <w:rFonts w:ascii="Arial Narrow" w:eastAsia="Times New Roman" w:hAnsi="Arial Narrow" w:cs="Arial"/>
          <w:kern w:val="0"/>
          <w:lang w:eastAsia="es-ES_tradnl"/>
          <w14:ligatures w14:val="none"/>
        </w:rPr>
      </w:pPr>
      <w:r>
        <w:rPr>
          <w:rFonts w:ascii="Arial Narrow" w:eastAsia="Arial Narrow" w:hAnsi="Arial Narrow"/>
        </w:rPr>
        <w:t>Elsa Ximena Vera Sepúlveda, representante titular del estamento administrativo.</w:t>
      </w:r>
    </w:p>
    <w:p w14:paraId="26F492A2" w14:textId="77777777" w:rsidR="001529C0" w:rsidRDefault="00000000">
      <w:pPr>
        <w:pStyle w:val="Prrafodelista"/>
        <w:numPr>
          <w:ilvl w:val="0"/>
          <w:numId w:val="4"/>
        </w:numPr>
        <w:spacing w:before="100" w:beforeAutospacing="1" w:after="100" w:afterAutospacing="1" w:line="240" w:lineRule="auto"/>
        <w:rPr>
          <w:rFonts w:ascii="Arial Narrow" w:eastAsia="Times New Roman" w:hAnsi="Arial Narrow" w:cs="Arial"/>
          <w:kern w:val="0"/>
          <w:lang w:eastAsia="es-ES_tradnl"/>
          <w14:ligatures w14:val="none"/>
        </w:rPr>
      </w:pPr>
      <w:r>
        <w:rPr>
          <w:rFonts w:ascii="Arial Narrow" w:eastAsia="Arial Narrow" w:hAnsi="Arial Narrow"/>
        </w:rPr>
        <w:t>Paula Belén Floody Flores, representante titular del estamento administrativo.</w:t>
      </w:r>
    </w:p>
    <w:p w14:paraId="0FAA25D3" w14:textId="77777777" w:rsidR="001529C0" w:rsidRDefault="00000000">
      <w:pPr>
        <w:pStyle w:val="Prrafodelista"/>
        <w:numPr>
          <w:ilvl w:val="0"/>
          <w:numId w:val="4"/>
        </w:numPr>
        <w:spacing w:before="100" w:beforeAutospacing="1" w:after="100" w:afterAutospacing="1" w:line="240" w:lineRule="auto"/>
        <w:rPr>
          <w:rFonts w:ascii="Arial Narrow" w:eastAsia="Times New Roman" w:hAnsi="Arial Narrow" w:cs="Arial"/>
          <w:kern w:val="0"/>
          <w:lang w:eastAsia="es-ES_tradnl"/>
          <w14:ligatures w14:val="none"/>
        </w:rPr>
      </w:pPr>
      <w:r>
        <w:rPr>
          <w:rFonts w:ascii="Arial Narrow" w:eastAsia="Arial Narrow" w:hAnsi="Arial Narrow"/>
        </w:rPr>
        <w:t>Servando Ulises Contreras Illanes, representante titular del estamento administrativo.</w:t>
      </w:r>
    </w:p>
    <w:p w14:paraId="0D79C262" w14:textId="77777777" w:rsidR="001529C0" w:rsidRDefault="00000000">
      <w:pPr>
        <w:pStyle w:val="Prrafodelista"/>
        <w:numPr>
          <w:ilvl w:val="0"/>
          <w:numId w:val="4"/>
        </w:numPr>
        <w:spacing w:before="100" w:beforeAutospacing="1" w:after="100" w:afterAutospacing="1" w:line="240" w:lineRule="auto"/>
        <w:rPr>
          <w:rFonts w:ascii="Arial Narrow" w:eastAsia="Times New Roman" w:hAnsi="Arial Narrow" w:cs="Arial"/>
          <w:kern w:val="0"/>
          <w:lang w:eastAsia="es-ES_tradnl"/>
          <w14:ligatures w14:val="none"/>
        </w:rPr>
      </w:pPr>
      <w:r>
        <w:rPr>
          <w:rFonts w:ascii="Arial Narrow" w:eastAsia="Arial Narrow" w:hAnsi="Arial Narrow"/>
        </w:rPr>
        <w:t>Lorena Paz Espinoza Arévalo, representante suplente del estamento administrativo.</w:t>
      </w:r>
    </w:p>
    <w:p w14:paraId="1322DBF5" w14:textId="77777777" w:rsidR="001529C0" w:rsidRDefault="00000000">
      <w:pPr>
        <w:pStyle w:val="Prrafodelista"/>
        <w:numPr>
          <w:ilvl w:val="0"/>
          <w:numId w:val="4"/>
        </w:numPr>
        <w:spacing w:before="100" w:beforeAutospacing="1" w:after="100" w:afterAutospacing="1" w:line="240" w:lineRule="auto"/>
        <w:rPr>
          <w:rFonts w:ascii="Arial Narrow" w:eastAsia="Times New Roman" w:hAnsi="Arial Narrow" w:cs="Arial"/>
          <w:kern w:val="0"/>
          <w:lang w:eastAsia="es-ES_tradnl"/>
          <w14:ligatures w14:val="none"/>
        </w:rPr>
      </w:pPr>
      <w:r>
        <w:rPr>
          <w:rFonts w:ascii="Arial Narrow" w:eastAsia="Arial Narrow" w:hAnsi="Arial Narrow"/>
        </w:rPr>
        <w:t>Rayen Millaray Mellado Godoy, representante titular del estamento estudiantil.</w:t>
      </w:r>
    </w:p>
    <w:p w14:paraId="3B5CFBE1" w14:textId="77777777" w:rsidR="001529C0" w:rsidRDefault="00000000">
      <w:pPr>
        <w:pStyle w:val="Prrafodelista"/>
        <w:numPr>
          <w:ilvl w:val="0"/>
          <w:numId w:val="4"/>
        </w:numPr>
        <w:spacing w:before="100" w:beforeAutospacing="1" w:after="100" w:afterAutospacing="1" w:line="240" w:lineRule="auto"/>
        <w:rPr>
          <w:rFonts w:ascii="Arial Narrow" w:eastAsia="Times New Roman" w:hAnsi="Arial Narrow" w:cs="Arial"/>
          <w:kern w:val="0"/>
          <w:lang w:eastAsia="es-ES_tradnl"/>
          <w14:ligatures w14:val="none"/>
        </w:rPr>
      </w:pPr>
      <w:r>
        <w:rPr>
          <w:rFonts w:ascii="Arial Narrow" w:eastAsia="Arial Narrow" w:hAnsi="Arial Narrow"/>
        </w:rPr>
        <w:t>Francisco Zavala Cárdenas, representante titular del estamento estudiantil.</w:t>
      </w:r>
    </w:p>
    <w:p w14:paraId="7937B137" w14:textId="77777777" w:rsidR="001529C0" w:rsidRDefault="00000000">
      <w:pPr>
        <w:pStyle w:val="Prrafodelista"/>
        <w:numPr>
          <w:ilvl w:val="0"/>
          <w:numId w:val="4"/>
        </w:numPr>
        <w:spacing w:before="100" w:beforeAutospacing="1" w:after="100" w:afterAutospacing="1" w:line="240" w:lineRule="auto"/>
        <w:rPr>
          <w:rFonts w:ascii="Arial Narrow" w:eastAsia="Times New Roman" w:hAnsi="Arial Narrow" w:cs="Arial"/>
          <w:kern w:val="0"/>
          <w:lang w:eastAsia="es-ES_tradnl"/>
          <w14:ligatures w14:val="none"/>
        </w:rPr>
      </w:pPr>
      <w:r>
        <w:rPr>
          <w:rFonts w:ascii="Arial Narrow" w:eastAsia="Arial Narrow" w:hAnsi="Arial Narrow"/>
        </w:rPr>
        <w:t>Paulina Constanza Martínez Rodríguez, representante titular del estamento estudiantil.</w:t>
      </w:r>
    </w:p>
    <w:p w14:paraId="689679F2" w14:textId="77777777" w:rsidR="001529C0" w:rsidRDefault="00000000">
      <w:pPr>
        <w:spacing w:before="100" w:beforeAutospacing="1" w:after="100" w:afterAutospacing="1" w:line="240" w:lineRule="auto"/>
        <w:rPr>
          <w:rFonts w:ascii="Arial Narrow" w:eastAsia="Times New Roman" w:hAnsi="Arial Narrow" w:cs="Arial"/>
          <w:kern w:val="0"/>
          <w:lang w:eastAsia="es-ES_tradnl"/>
          <w14:ligatures w14:val="none"/>
        </w:rPr>
      </w:pPr>
      <w:r>
        <w:rPr>
          <w:rFonts w:ascii="Arial Narrow" w:eastAsia="Arial Narrow" w:hAnsi="Arial Narrow"/>
        </w:rPr>
        <w:t xml:space="preserve">Inasistencias justificadas: </w:t>
      </w:r>
    </w:p>
    <w:p w14:paraId="6FD13990" w14:textId="77777777" w:rsidR="001529C0" w:rsidRDefault="00000000">
      <w:pPr>
        <w:pStyle w:val="Prrafodelista"/>
        <w:numPr>
          <w:ilvl w:val="0"/>
          <w:numId w:val="5"/>
        </w:numPr>
        <w:spacing w:before="100" w:beforeAutospacing="1" w:after="100" w:afterAutospacing="1" w:line="240" w:lineRule="auto"/>
        <w:rPr>
          <w:rFonts w:ascii="Arial Narrow" w:eastAsia="Times New Roman" w:hAnsi="Arial Narrow" w:cs="Arial"/>
          <w:kern w:val="0"/>
          <w:lang w:eastAsia="es-ES_tradnl"/>
          <w14:ligatures w14:val="none"/>
        </w:rPr>
      </w:pPr>
      <w:r>
        <w:rPr>
          <w:rFonts w:ascii="Arial Narrow" w:eastAsia="Arial Narrow" w:hAnsi="Arial Narrow"/>
        </w:rPr>
        <w:t>Cristian Gustavo Aguilera Rossi, representante suplente del estamento académico.</w:t>
      </w:r>
    </w:p>
    <w:p w14:paraId="489A44CB" w14:textId="77777777" w:rsidR="001529C0" w:rsidRDefault="00000000">
      <w:pPr>
        <w:pStyle w:val="Prrafodelista"/>
        <w:numPr>
          <w:ilvl w:val="0"/>
          <w:numId w:val="5"/>
        </w:numPr>
        <w:spacing w:before="100" w:beforeAutospacing="1" w:after="100" w:afterAutospacing="1" w:line="240" w:lineRule="auto"/>
        <w:rPr>
          <w:rFonts w:ascii="Arial Narrow" w:eastAsia="Times New Roman" w:hAnsi="Arial Narrow" w:cs="Arial"/>
          <w:kern w:val="0"/>
          <w:lang w:eastAsia="es-ES_tradnl"/>
          <w14:ligatures w14:val="none"/>
        </w:rPr>
      </w:pPr>
      <w:r>
        <w:rPr>
          <w:rFonts w:ascii="Arial Narrow" w:hAnsi="Arial Narrow"/>
        </w:rPr>
        <w:t>Yarella Nikol Sánchez Morales, representante suplente del estamento estudiantil.</w:t>
      </w:r>
    </w:p>
    <w:p w14:paraId="614E06C5" w14:textId="77777777" w:rsidR="001529C0" w:rsidRDefault="00000000">
      <w:pPr>
        <w:spacing w:before="100" w:beforeAutospacing="1" w:after="100" w:afterAutospacing="1" w:line="240" w:lineRule="auto"/>
        <w:rPr>
          <w:rFonts w:ascii="Arial Narrow" w:eastAsia="Times New Roman" w:hAnsi="Arial Narrow" w:cs="Arial"/>
          <w:kern w:val="0"/>
          <w:lang w:eastAsia="es-ES_tradnl"/>
          <w14:ligatures w14:val="none"/>
        </w:rPr>
      </w:pPr>
      <w:r>
        <w:rPr>
          <w:rFonts w:ascii="Arial Narrow" w:eastAsia="Arial Narrow" w:hAnsi="Arial Narrow"/>
        </w:rPr>
        <w:t>Asisten adicionalmente</w:t>
      </w:r>
    </w:p>
    <w:p w14:paraId="0966AA68" w14:textId="77777777" w:rsidR="001529C0" w:rsidRDefault="00000000">
      <w:pPr>
        <w:pStyle w:val="Prrafodelista"/>
        <w:numPr>
          <w:ilvl w:val="0"/>
          <w:numId w:val="2"/>
        </w:numPr>
        <w:spacing w:before="100" w:beforeAutospacing="1" w:after="100" w:afterAutospacing="1" w:line="240" w:lineRule="auto"/>
        <w:rPr>
          <w:rFonts w:ascii="Arial Narrow" w:eastAsia="Times New Roman" w:hAnsi="Arial Narrow" w:cs="Arial"/>
          <w:kern w:val="0"/>
          <w:lang w:eastAsia="es-ES_tradnl"/>
          <w14:ligatures w14:val="none"/>
        </w:rPr>
      </w:pPr>
      <w:r>
        <w:rPr>
          <w:rFonts w:ascii="Arial Narrow" w:eastAsia="Arial Narrow" w:hAnsi="Arial Narrow"/>
        </w:rPr>
        <w:t>Juan Carlos Guajardo Puga, Secretario General de la Universidad de La Frontera, en calidad de ministro de fe del TRICEL.</w:t>
      </w:r>
    </w:p>
    <w:p w14:paraId="42A40E67" w14:textId="77777777" w:rsidR="001529C0" w:rsidRDefault="00000000">
      <w:pPr>
        <w:pStyle w:val="Prrafodelista"/>
        <w:numPr>
          <w:ilvl w:val="0"/>
          <w:numId w:val="2"/>
        </w:numPr>
        <w:spacing w:before="100" w:beforeAutospacing="1" w:after="100" w:afterAutospacing="1" w:line="240" w:lineRule="auto"/>
        <w:rPr>
          <w:rFonts w:ascii="Arial Narrow" w:eastAsia="Times New Roman" w:hAnsi="Arial Narrow" w:cs="Arial"/>
          <w:kern w:val="0"/>
          <w:lang w:eastAsia="es-ES_tradnl"/>
          <w14:ligatures w14:val="none"/>
        </w:rPr>
      </w:pPr>
      <w:r>
        <w:rPr>
          <w:rFonts w:ascii="Arial Narrow" w:eastAsia="Arial Narrow" w:hAnsi="Arial Narrow"/>
        </w:rPr>
        <w:t>Johanna Gatica, profesional de apoyo administrativo y técnico del proceso electoral electrónico.</w:t>
      </w:r>
    </w:p>
    <w:p w14:paraId="2AC96F38" w14:textId="77777777" w:rsidR="001529C0" w:rsidRDefault="001529C0">
      <w:pPr>
        <w:spacing w:before="100" w:beforeAutospacing="1" w:after="100" w:afterAutospacing="1" w:line="240" w:lineRule="auto"/>
        <w:rPr>
          <w:rFonts w:ascii="Arial Narrow" w:eastAsia="Times New Roman" w:hAnsi="Arial Narrow" w:cs="Arial"/>
          <w:kern w:val="0"/>
          <w:lang w:eastAsia="es-ES_tradnl"/>
          <w14:ligatures w14:val="none"/>
        </w:rPr>
      </w:pPr>
    </w:p>
    <w:p w14:paraId="0CBC7D1B" w14:textId="5CA55D55" w:rsidR="001529C0" w:rsidRPr="003A39F4" w:rsidRDefault="00000000" w:rsidP="003A39F4">
      <w:pPr>
        <w:spacing w:before="100" w:beforeAutospacing="1" w:after="100" w:afterAutospacing="1" w:line="240" w:lineRule="auto"/>
        <w:jc w:val="both"/>
        <w:rPr>
          <w:rFonts w:ascii="Arial Narrow" w:eastAsia="Times New Roman" w:hAnsi="Arial Narrow" w:cs="Arial"/>
          <w:kern w:val="0"/>
          <w:lang w:eastAsia="es-ES_tradnl"/>
          <w14:ligatures w14:val="none"/>
        </w:rPr>
      </w:pPr>
      <w:r>
        <w:rPr>
          <w:rFonts w:ascii="Arial Narrow" w:eastAsia="Arial Narrow" w:hAnsi="Arial Narrow"/>
        </w:rPr>
        <w:t>En Temuco, a 9 de julio de 2026, siendo las 11:00 horas, se reúne en sesión ordinaria el Tribunal Calificador de Elecciones (TRICEL), formalizado mediante Resolución Exenta N°1582, de 2026</w:t>
      </w:r>
      <w:r w:rsidR="003A39F4">
        <w:rPr>
          <w:rFonts w:ascii="Arial Narrow" w:eastAsia="Arial Narrow" w:hAnsi="Arial Narrow"/>
        </w:rPr>
        <w:t>.</w:t>
      </w:r>
    </w:p>
    <w:p w14:paraId="36182C68" w14:textId="77777777" w:rsidR="001529C0" w:rsidRPr="003A39F4" w:rsidRDefault="00000000" w:rsidP="003A39F4">
      <w:pPr>
        <w:jc w:val="both"/>
        <w:rPr>
          <w:rFonts w:ascii="Arial Narrow" w:hAnsi="Arial Narrow"/>
        </w:rPr>
      </w:pPr>
      <w:r w:rsidRPr="003A39F4">
        <w:rPr>
          <w:rFonts w:ascii="Arial Narrow" w:hAnsi="Arial Narrow"/>
        </w:rPr>
        <w:t>Se deja constancia de la inasistencia justificada de don Cristian Gustavo Aguilera Rossi, representante suplente del estamento académico, y de doña Yarella Nikol Sánchez Morales, representante suplente del estamento estudiantil.</w:t>
      </w:r>
    </w:p>
    <w:p w14:paraId="586C6314" w14:textId="77777777" w:rsidR="001529C0" w:rsidRDefault="00000000">
      <w:pPr>
        <w:spacing w:before="100" w:beforeAutospacing="1" w:after="100" w:afterAutospacing="1" w:line="240" w:lineRule="auto"/>
        <w:jc w:val="both"/>
        <w:rPr>
          <w:rFonts w:ascii="Arial Narrow" w:eastAsia="Times New Roman" w:hAnsi="Arial Narrow" w:cs="Arial"/>
          <w:kern w:val="0"/>
          <w:lang w:eastAsia="es-ES_tradnl"/>
          <w14:ligatures w14:val="none"/>
        </w:rPr>
      </w:pPr>
      <w:r>
        <w:rPr>
          <w:rFonts w:ascii="Arial Narrow" w:eastAsia="Arial Narrow" w:hAnsi="Arial Narrow"/>
        </w:rPr>
        <w:lastRenderedPageBreak/>
        <w:t xml:space="preserve">Preside la sesión don Andrés Eduardo Sáez Geoffroy, </w:t>
      </w:r>
      <w:proofErr w:type="gramStart"/>
      <w:r>
        <w:rPr>
          <w:rFonts w:ascii="Arial Narrow" w:eastAsia="Arial Narrow" w:hAnsi="Arial Narrow"/>
        </w:rPr>
        <w:t>Presidente</w:t>
      </w:r>
      <w:proofErr w:type="gramEnd"/>
      <w:r>
        <w:rPr>
          <w:rFonts w:ascii="Arial Narrow" w:eastAsia="Arial Narrow" w:hAnsi="Arial Narrow"/>
        </w:rPr>
        <w:t xml:space="preserve"> del TRICEL, conforme al acuerdo adoptado en la sesión ordinaria anterior. Actúa como ministro de fe don Juan Carlos Guajardo Puga, Secretario General de la Universidad de La Frontera.</w:t>
      </w:r>
    </w:p>
    <w:p w14:paraId="5121D32D" w14:textId="77777777" w:rsidR="001529C0" w:rsidRDefault="00000000">
      <w:pPr>
        <w:spacing w:before="100" w:beforeAutospacing="1" w:after="100" w:afterAutospacing="1" w:line="240" w:lineRule="auto"/>
        <w:jc w:val="both"/>
        <w:rPr>
          <w:rFonts w:ascii="Arial Narrow" w:eastAsia="Times New Roman" w:hAnsi="Arial Narrow" w:cs="Arial"/>
          <w:kern w:val="0"/>
          <w:lang w:eastAsia="es-ES_tradnl"/>
          <w14:ligatures w14:val="none"/>
        </w:rPr>
      </w:pPr>
      <w:r>
        <w:rPr>
          <w:rFonts w:ascii="Arial Narrow" w:eastAsia="Arial Narrow" w:hAnsi="Arial Narrow"/>
        </w:rPr>
        <w:t>El Presidente da inicio a la sesión señalando que, conforme a los acuerdos adoptados en la sesión anterior, el TRICEL sesionará ordinariamente los días jueves, en la Sala de Consejo de Rectoría. Indica que la tabla de la presente sesión comprende, principalmente, la revisión y aprobación del acta anterior, el estado de las nóminas o padrones electorales, la revisión de la normativa aplicable y la identificación de las próximas tareas que deberá desarrollar el órgano.</w:t>
      </w:r>
    </w:p>
    <w:p w14:paraId="19AF482E" w14:textId="77777777" w:rsidR="001529C0" w:rsidRDefault="00000000">
      <w:pPr>
        <w:spacing w:before="100" w:beforeAutospacing="1" w:after="100" w:afterAutospacing="1" w:line="240" w:lineRule="auto"/>
        <w:jc w:val="both"/>
        <w:rPr>
          <w:rFonts w:ascii="Arial Narrow" w:eastAsia="Times New Roman" w:hAnsi="Arial Narrow" w:cs="Arial"/>
          <w:kern w:val="0"/>
          <w:lang w:eastAsia="es-ES_tradnl"/>
          <w14:ligatures w14:val="none"/>
        </w:rPr>
      </w:pPr>
      <w:r>
        <w:rPr>
          <w:rFonts w:ascii="Arial Narrow" w:eastAsia="Arial Narrow" w:hAnsi="Arial Narrow"/>
        </w:rPr>
        <w:t>En relación con el acta de la sesión ordinaria N°1, se informa que esta fue remitida previamente a las y los integrantes del TRICEL para su revisión y observaciones. Se deja constancia de que se recibieron observaciones de integrantes del Tribunal, las que fueron incorporadas en el texto enmendado, especialmente en lo relativo a la asistencia de la Directora Jurídica, el carácter ordinario de la sesión, la regla de presidencia rotativa, la vicepresidencia, la vocería fija y la corrección de las personas firmantes.</w:t>
      </w:r>
    </w:p>
    <w:p w14:paraId="7470D696" w14:textId="77777777" w:rsidR="001529C0" w:rsidRDefault="00000000">
      <w:pPr>
        <w:spacing w:before="100" w:beforeAutospacing="1" w:after="100" w:afterAutospacing="1" w:line="240" w:lineRule="auto"/>
        <w:jc w:val="both"/>
        <w:rPr>
          <w:rFonts w:ascii="Arial Narrow" w:eastAsia="Times New Roman" w:hAnsi="Arial Narrow" w:cs="Arial"/>
          <w:kern w:val="0"/>
          <w:lang w:eastAsia="es-ES_tradnl"/>
          <w14:ligatures w14:val="none"/>
        </w:rPr>
      </w:pPr>
      <w:r>
        <w:rPr>
          <w:rFonts w:ascii="Arial Narrow" w:eastAsia="Arial Narrow" w:hAnsi="Arial Narrow"/>
        </w:rPr>
        <w:t>Durante la revisión del acta anterior, se plantea la conveniencia de distinguir entre inasistencias e inasistencias justificadas, a fin de reflejar adecuadamente aquellas ausencias comunicadas oportunamente por sus integrantes. El TRICEL acuerda incorporar dicha precisión en el acta de la sesión N°1, dejando constancia de las inasistencias justificadas que correspondan. Con dicha corrección, y no existiendo nuevas observaciones de fondo, el TRICEL aprueba el acta de la sesión ordinaria N°1.</w:t>
      </w:r>
    </w:p>
    <w:p w14:paraId="27E53C71" w14:textId="77777777" w:rsidR="001529C0" w:rsidRDefault="00000000">
      <w:pPr>
        <w:spacing w:before="100" w:beforeAutospacing="1" w:after="100" w:afterAutospacing="1" w:line="240" w:lineRule="auto"/>
        <w:jc w:val="both"/>
        <w:rPr>
          <w:rFonts w:ascii="Arial Narrow" w:eastAsia="Times New Roman" w:hAnsi="Arial Narrow" w:cs="Arial"/>
          <w:kern w:val="0"/>
          <w:lang w:eastAsia="es-ES_tradnl"/>
          <w14:ligatures w14:val="none"/>
        </w:rPr>
      </w:pPr>
      <w:r>
        <w:rPr>
          <w:rFonts w:ascii="Arial Narrow" w:eastAsia="Arial Narrow" w:hAnsi="Arial Narrow"/>
        </w:rPr>
        <w:t>A continuación, el Secretario General informa que ya fueron solicitadas las nóminas o padrones necesarios para el desarrollo del proceso electoral. Sin perjuicio de ello, señala que dichos antecedentes aún no han sido remitidos en su totalidad, atendido que su confección requiere la intervención de las unidades competentes y no corresponde a una generación automática de información. Se indica que es probable que dichos antecedentes puedan estar disponibles para la próxima sesión, sin perjuicio de la necesidad de reiterar formalmente la solicitud, dada la relevancia de contar con ellos para avanzar en la planificación del proceso.</w:t>
      </w:r>
    </w:p>
    <w:p w14:paraId="204C8FF2" w14:textId="77777777" w:rsidR="001529C0" w:rsidRDefault="00000000">
      <w:pPr>
        <w:spacing w:before="100" w:beforeAutospacing="1" w:after="100" w:afterAutospacing="1" w:line="240" w:lineRule="auto"/>
        <w:jc w:val="both"/>
        <w:rPr>
          <w:rFonts w:ascii="Arial Narrow" w:eastAsia="Times New Roman" w:hAnsi="Arial Narrow" w:cs="Arial"/>
          <w:kern w:val="0"/>
          <w:lang w:eastAsia="es-ES_tradnl"/>
          <w14:ligatures w14:val="none"/>
        </w:rPr>
      </w:pPr>
      <w:r>
        <w:rPr>
          <w:rFonts w:ascii="Arial Narrow" w:eastAsia="Arial Narrow" w:hAnsi="Arial Narrow"/>
        </w:rPr>
        <w:t>Se deja constancia de que la conformación, revisión y validación de las nóminas o padrones electorales constituye una de las primeras tareas sustantivas del TRICEL, toda vez que de ello depende la identificación del universo electoral, la eventual recepción de observaciones o reclamaciones, la apertura del período de candidaturas y la posterior organización de la votación.</w:t>
      </w:r>
    </w:p>
    <w:p w14:paraId="343B0909" w14:textId="77777777" w:rsidR="001529C0" w:rsidRDefault="00000000">
      <w:pPr>
        <w:spacing w:before="100" w:beforeAutospacing="1" w:after="100" w:afterAutospacing="1" w:line="240" w:lineRule="auto"/>
        <w:jc w:val="both"/>
        <w:rPr>
          <w:rFonts w:ascii="Arial Narrow" w:eastAsia="Times New Roman" w:hAnsi="Arial Narrow" w:cs="Arial"/>
          <w:kern w:val="0"/>
          <w:lang w:eastAsia="es-ES_tradnl"/>
          <w14:ligatures w14:val="none"/>
        </w:rPr>
      </w:pPr>
      <w:r>
        <w:rPr>
          <w:rFonts w:ascii="Arial Narrow" w:eastAsia="Arial Narrow" w:hAnsi="Arial Narrow"/>
        </w:rPr>
        <w:t>El Secretario General informa, además, que la Junta Directiva conoció y aprobó la modificación de la Resolución Exenta N°0329, de 2026, en relación con el cómputo de los plazos del proceso. Al efecto, se comunica que el plazo ordinario de sesenta días hábiles administrativos comenzará a contarse desde la constitución del TRICEL. Asimismo, se informa que la Junta Directiva acordó modificar la regla de ampliación del plazo, estableciendo una eventual prórroga de veinte días hábiles administrativos, en caso de que sea solicitada por el TRICEL.</w:t>
      </w:r>
    </w:p>
    <w:p w14:paraId="57D67B1B" w14:textId="77777777" w:rsidR="001529C0" w:rsidRDefault="00000000">
      <w:pPr>
        <w:spacing w:before="100" w:beforeAutospacing="1" w:after="100" w:afterAutospacing="1" w:line="240" w:lineRule="auto"/>
        <w:jc w:val="both"/>
        <w:rPr>
          <w:rFonts w:ascii="Arial Narrow" w:eastAsia="Times New Roman" w:hAnsi="Arial Narrow" w:cs="Arial"/>
          <w:kern w:val="0"/>
          <w:lang w:eastAsia="es-ES_tradnl"/>
          <w14:ligatures w14:val="none"/>
        </w:rPr>
      </w:pPr>
      <w:r>
        <w:rPr>
          <w:rFonts w:ascii="Arial Narrow" w:eastAsia="Arial Narrow" w:hAnsi="Arial Narrow"/>
        </w:rPr>
        <w:t>Se deja constancia de que, conforme a dicha modificación, el proceso debe organizarse considerando un plazo ordinario de sesenta días hábiles administrativos, con posibilidad de ampliación por veinte días hábiles administrativos adicionales, en caso de resultar necesario y ser requerido por el Tribunal. Se hace presente que todos los plazos deben ser considerados como días hábiles administrativos.</w:t>
      </w:r>
    </w:p>
    <w:p w14:paraId="5A3D96AB" w14:textId="77777777" w:rsidR="001529C0" w:rsidRDefault="00000000">
      <w:pPr>
        <w:spacing w:before="100" w:beforeAutospacing="1" w:after="100" w:afterAutospacing="1" w:line="240" w:lineRule="auto"/>
        <w:jc w:val="both"/>
        <w:rPr>
          <w:rFonts w:ascii="Arial Narrow" w:eastAsia="Times New Roman" w:hAnsi="Arial Narrow" w:cs="Arial"/>
          <w:kern w:val="0"/>
          <w:lang w:eastAsia="es-ES_tradnl"/>
          <w14:ligatures w14:val="none"/>
        </w:rPr>
      </w:pPr>
      <w:r>
        <w:rPr>
          <w:rFonts w:ascii="Arial Narrow" w:eastAsia="Arial Narrow" w:hAnsi="Arial Narrow"/>
        </w:rPr>
        <w:lastRenderedPageBreak/>
        <w:t>Durante la sesión se conversa sobre el cómputo de los plazos y la eventual incidencia de los períodos de receso universitario o suspensión de actividades en dicho cómputo. Se plantea que, en principio, los días hábiles administrativos se entienden como aquellos comprendidos de lunes a viernes, excluidos sábados, domingos y festivos. Sin perjuicio de ello, atendida la particularidad del calendario universitario y la existencia de períodos de receso o suspensión de actividades, se acuerda solicitar un pronunciamiento jurídico que permita determinar si dichos períodos deben o no excluirse del cómputo de los plazos del proceso.</w:t>
      </w:r>
    </w:p>
    <w:p w14:paraId="07CA127D" w14:textId="77777777" w:rsidR="001529C0" w:rsidRDefault="00000000">
      <w:pPr>
        <w:spacing w:before="100" w:beforeAutospacing="1" w:after="100" w:afterAutospacing="1" w:line="240" w:lineRule="auto"/>
        <w:jc w:val="both"/>
        <w:rPr>
          <w:rFonts w:ascii="Arial Narrow" w:eastAsia="Times New Roman" w:hAnsi="Arial Narrow" w:cs="Arial"/>
          <w:kern w:val="0"/>
          <w:lang w:eastAsia="es-ES_tradnl"/>
          <w14:ligatures w14:val="none"/>
        </w:rPr>
      </w:pPr>
      <w:r>
        <w:rPr>
          <w:rFonts w:ascii="Arial Narrow" w:eastAsia="Arial Narrow" w:hAnsi="Arial Narrow"/>
        </w:rPr>
        <w:t>El Presidente propone revisar la normativa aplicable al proceso, especialmente desde el artículo 9 en adelante de la Resolución Exenta N°0329, de 2026, con el objeto de identificar las tareas inmediatas del TRICEL, los plazos que deberán ser definidos por el propio órgano y las materias que requieren interpretación o pronunciamiento jurídico.</w:t>
      </w:r>
    </w:p>
    <w:p w14:paraId="6E33FC41" w14:textId="77777777" w:rsidR="001529C0" w:rsidRDefault="00000000">
      <w:pPr>
        <w:spacing w:before="100" w:beforeAutospacing="1" w:after="100" w:afterAutospacing="1" w:line="240" w:lineRule="auto"/>
        <w:jc w:val="both"/>
        <w:rPr>
          <w:rFonts w:ascii="Arial Narrow" w:eastAsia="Times New Roman" w:hAnsi="Arial Narrow" w:cs="Arial"/>
          <w:kern w:val="0"/>
          <w:lang w:eastAsia="es-ES_tradnl"/>
          <w14:ligatures w14:val="none"/>
        </w:rPr>
      </w:pPr>
      <w:r>
        <w:rPr>
          <w:rFonts w:ascii="Arial Narrow" w:eastAsia="Arial Narrow" w:hAnsi="Arial Narrow"/>
        </w:rPr>
        <w:t>Se recuerda que la convocatoria a las votaciones de candidatas y candidatos deberá realizarse en paralelo para los tres estamentos, y que el proceso se iniciará una vez dictada la resolución correspondiente, a requerimiento del TRICEL. Se deja constancia de que, para formular adecuadamente dicho requerimiento, resulta necesario contar previamente con las nóminas o padrones electorales, ya que estos antecedentes permitirán diseñar el calendario del proceso y determinar sus etapas.</w:t>
      </w:r>
    </w:p>
    <w:p w14:paraId="5B614851" w14:textId="77777777" w:rsidR="001529C0" w:rsidRDefault="00000000">
      <w:pPr>
        <w:spacing w:before="100" w:beforeAutospacing="1" w:after="100" w:afterAutospacing="1" w:line="240" w:lineRule="auto"/>
        <w:jc w:val="both"/>
        <w:rPr>
          <w:rFonts w:ascii="Arial Narrow" w:eastAsia="Times New Roman" w:hAnsi="Arial Narrow" w:cs="Arial"/>
          <w:kern w:val="0"/>
          <w:lang w:eastAsia="es-ES_tradnl"/>
          <w14:ligatures w14:val="none"/>
        </w:rPr>
      </w:pPr>
      <w:r>
        <w:rPr>
          <w:rFonts w:ascii="Arial Narrow" w:eastAsia="Arial Narrow" w:hAnsi="Arial Narrow"/>
        </w:rPr>
        <w:t>Se revisa la regla relativa a los padrones electorales y se señala que, previo a la elección, el TRICEL deberá publicar las nóminas del universo electoral correspondiente, requiriendo la información a las unidades competentes. En el caso del estamento académico y administrativo, se hace referencia a la necesidad de contar con información proveniente de la Dirección de Gestión y Desarrollo de Personas y de la Dirección de Análisis y Desarrollo Institucional, según corresponda. Respecto del estamento estudiantil, se señala que será necesario contar con la información pertinente de las unidades competentes en materia de registro estudiantil.</w:t>
      </w:r>
    </w:p>
    <w:p w14:paraId="3E202B42" w14:textId="77777777" w:rsidR="001529C0" w:rsidRDefault="00000000">
      <w:pPr>
        <w:spacing w:before="100" w:beforeAutospacing="1" w:after="100" w:afterAutospacing="1" w:line="240" w:lineRule="auto"/>
        <w:jc w:val="both"/>
        <w:rPr>
          <w:rFonts w:ascii="Arial Narrow" w:eastAsia="Times New Roman" w:hAnsi="Arial Narrow" w:cs="Arial"/>
          <w:kern w:val="0"/>
          <w:lang w:eastAsia="es-ES_tradnl"/>
          <w14:ligatures w14:val="none"/>
        </w:rPr>
      </w:pPr>
      <w:r>
        <w:rPr>
          <w:rFonts w:ascii="Arial Narrow" w:eastAsia="Arial Narrow" w:hAnsi="Arial Narrow"/>
        </w:rPr>
        <w:t>Se deja constancia de que, una vez recibidas las nóminas, el TRICEL deberá definir un plazo para observaciones o reclamaciones al padrón. Durante la sesión se conversa preliminarmente sobre la posibilidad de establecer un plazo breve, de tres o cuatro días hábiles, atendida la necesidad de compatibilizar el derecho de las personas a revisar su correcta incorporación en el padrón con el plazo total disponible para desarrollar el proceso electoral. No obstante, se acuerda que la definición concreta de dicho plazo se efectuará una vez recibidas las nóminas y conocido el estado real de avance del proceso.</w:t>
      </w:r>
    </w:p>
    <w:p w14:paraId="73286907" w14:textId="77777777" w:rsidR="001529C0" w:rsidRDefault="00000000">
      <w:pPr>
        <w:spacing w:before="100" w:beforeAutospacing="1" w:after="100" w:afterAutospacing="1" w:line="240" w:lineRule="auto"/>
        <w:jc w:val="both"/>
        <w:rPr>
          <w:rFonts w:ascii="Arial Narrow" w:eastAsia="Times New Roman" w:hAnsi="Arial Narrow" w:cs="Arial"/>
          <w:kern w:val="0"/>
          <w:lang w:eastAsia="es-ES_tradnl"/>
          <w14:ligatures w14:val="none"/>
        </w:rPr>
      </w:pPr>
      <w:r>
        <w:rPr>
          <w:rFonts w:ascii="Arial Narrow" w:eastAsia="Arial Narrow" w:hAnsi="Arial Narrow"/>
        </w:rPr>
        <w:t>Se revisa asimismo la regulación relativa a la declaración de pertenencia a pueblos indígenas u originarios, atendido que el procedimiento contempla cupos asociados a interculturalidad. Se señala que, respecto de aquellas personas que no hayan efectuado previamente su declaración de pertenencia, deberá contemplarse un período que permita realizar dicha declaración en los términos previstos por la normativa aplicable. Se precisa que quienes ya hubieren efectuado dicha declaración en los registros institucionales respectivos no deberían requerir una nueva declaración para ser consideradas en tal calidad, sin perjuicio de las precisiones que corresponda efectuar.</w:t>
      </w:r>
    </w:p>
    <w:p w14:paraId="70521A84" w14:textId="77777777" w:rsidR="001529C0" w:rsidRDefault="00000000">
      <w:pPr>
        <w:spacing w:before="100" w:beforeAutospacing="1" w:after="100" w:afterAutospacing="1" w:line="240" w:lineRule="auto"/>
        <w:jc w:val="both"/>
        <w:rPr>
          <w:rFonts w:ascii="Arial Narrow" w:eastAsia="Times New Roman" w:hAnsi="Arial Narrow" w:cs="Arial"/>
          <w:kern w:val="0"/>
          <w:lang w:eastAsia="es-ES_tradnl"/>
          <w14:ligatures w14:val="none"/>
        </w:rPr>
      </w:pPr>
      <w:r>
        <w:rPr>
          <w:rFonts w:ascii="Arial Narrow" w:eastAsia="Arial Narrow" w:hAnsi="Arial Narrow"/>
        </w:rPr>
        <w:t>Durante la discusión se plantea la necesidad de distinguir correctamente entre padrón general y padrón indígena u originario, así como de definir los efectos que dicha pertenencia tendrá en la votación, atendido el principio de una persona, un voto. Se deja constancia de que se trata de una materia relevante para la configuración del proceso electoral y que, en caso de presentarse situaciones particulares, estas deberán ser resueltas por el TRICEL dentro de su competencia, con apoyo de los pronunciamientos jurídicos que se estimen necesarios.</w:t>
      </w:r>
    </w:p>
    <w:p w14:paraId="18D0263A" w14:textId="77777777" w:rsidR="001529C0" w:rsidRDefault="00000000">
      <w:pPr>
        <w:spacing w:before="100" w:beforeAutospacing="1" w:after="100" w:afterAutospacing="1" w:line="240" w:lineRule="auto"/>
        <w:jc w:val="both"/>
        <w:rPr>
          <w:rFonts w:ascii="Arial Narrow" w:eastAsia="Times New Roman" w:hAnsi="Arial Narrow" w:cs="Arial"/>
          <w:kern w:val="0"/>
          <w:lang w:eastAsia="es-ES_tradnl"/>
          <w14:ligatures w14:val="none"/>
        </w:rPr>
      </w:pPr>
      <w:r>
        <w:rPr>
          <w:rFonts w:ascii="Arial Narrow" w:eastAsia="Arial Narrow" w:hAnsi="Arial Narrow"/>
        </w:rPr>
        <w:lastRenderedPageBreak/>
        <w:t>Se revisa también la norma sobre inscripción de candidaturas, señalándose que las candidaturas deberán inscribirse ante Secretaría General. En el caso de personas pertenecientes a pueblos indígenas u originarios, se señala que la normativa contempla la posibilidad de participar en el proceso general o en el cupo reservado indígena, mecanismos que resultan excluyentes. Asimismo, se advierte la necesidad de aclarar aspectos vinculados al mecanismo tradicional denominado trawün, especialmente en lo relativo a su convocatoria, validez, forma de operación y eventuales efectos en el proceso electoral. Sobre esta materia, se acuerda solicitar una aclaración jurídica.</w:t>
      </w:r>
    </w:p>
    <w:p w14:paraId="045744AF" w14:textId="77777777" w:rsidR="001529C0" w:rsidRDefault="00000000">
      <w:pPr>
        <w:spacing w:before="100" w:beforeAutospacing="1" w:after="100" w:afterAutospacing="1" w:line="240" w:lineRule="auto"/>
        <w:jc w:val="both"/>
        <w:rPr>
          <w:rFonts w:ascii="Arial Narrow" w:eastAsia="Times New Roman" w:hAnsi="Arial Narrow" w:cs="Arial"/>
          <w:kern w:val="0"/>
          <w:lang w:eastAsia="es-ES_tradnl"/>
          <w14:ligatures w14:val="none"/>
        </w:rPr>
      </w:pPr>
      <w:r>
        <w:rPr>
          <w:rFonts w:ascii="Arial Narrow" w:eastAsia="Arial Narrow" w:hAnsi="Arial Narrow"/>
        </w:rPr>
        <w:t>En relación con la validación de candidaturas, se señala que corresponderá al TRICEL verificar el cumplimiento de los requisitos previstos en la normativa aplicable, para luego proceder a la publicación de la nómina oficial de candidatas y candidatos por estamento. Se deja constancia de que deberán definirse los plazos para la inscripción de candidaturas, la revisión de admisibilidad, la publicación de candidaturas admisibles y la etapa de campaña, todo ello dentro del plazo total del proceso.</w:t>
      </w:r>
    </w:p>
    <w:p w14:paraId="22F2973D" w14:textId="77777777" w:rsidR="001529C0" w:rsidRDefault="00000000">
      <w:pPr>
        <w:spacing w:before="100" w:beforeAutospacing="1" w:after="100" w:afterAutospacing="1" w:line="240" w:lineRule="auto"/>
        <w:jc w:val="both"/>
        <w:rPr>
          <w:rFonts w:ascii="Arial Narrow" w:eastAsia="Times New Roman" w:hAnsi="Arial Narrow" w:cs="Arial"/>
          <w:kern w:val="0"/>
          <w:lang w:eastAsia="es-ES_tradnl"/>
          <w14:ligatures w14:val="none"/>
        </w:rPr>
      </w:pPr>
      <w:r>
        <w:rPr>
          <w:rFonts w:ascii="Arial Narrow" w:eastAsia="Arial Narrow" w:hAnsi="Arial Narrow"/>
        </w:rPr>
        <w:t>Se analizan preliminarmente los requisitos comunes de admisibilidad de candidaturas, entre ellos, no registrar sanción disciplinaria en los últimos cinco años, no haber sido sancionado mediante resolución o sentencia de término por actos de violencia de género o violencia intrafamiliar, no figurar en el Registro Nacional de Deudores de Pensiones de Alimentos y no requerirse cartas de patrocinio o apoyo para la presentación de candidaturas.</w:t>
      </w:r>
    </w:p>
    <w:p w14:paraId="4FA0B256" w14:textId="77777777" w:rsidR="001529C0" w:rsidRDefault="00000000">
      <w:pPr>
        <w:spacing w:before="100" w:beforeAutospacing="1" w:after="100" w:afterAutospacing="1" w:line="240" w:lineRule="auto"/>
        <w:jc w:val="both"/>
        <w:rPr>
          <w:rFonts w:ascii="Arial Narrow" w:eastAsia="Times New Roman" w:hAnsi="Arial Narrow" w:cs="Arial"/>
          <w:kern w:val="0"/>
          <w:lang w:eastAsia="es-ES_tradnl"/>
          <w14:ligatures w14:val="none"/>
        </w:rPr>
      </w:pPr>
      <w:r>
        <w:rPr>
          <w:rFonts w:ascii="Arial Narrow" w:eastAsia="Arial Narrow" w:hAnsi="Arial Narrow"/>
        </w:rPr>
        <w:t>Respecto de la verificación de dichos requisitos, se informa que será necesario solicitar antecedentes a las unidades competentes. En particular, respecto de sanciones disciplinarias, se señala que deberá requerirse información a la Coordinación de Procedimientos Disciplinarios u órgano competente. En cuanto a antecedentes vinculados al Registro Nacional de Deudores de Pensiones de Alimentos u otros registros consultables institucionalmente, se indica que deberá coordinarse con la División de Decretación o la unidad que corresponda. Se deja constancia de que dichos antecedentes deberían requerirse una vez recibidas las postulaciones, para evitar imponer cargas innecesarias o generar obstáculos anticipados a la inscripción de candidaturas.</w:t>
      </w:r>
    </w:p>
    <w:p w14:paraId="62E66967" w14:textId="77777777" w:rsidR="001529C0" w:rsidRDefault="00000000">
      <w:pPr>
        <w:spacing w:before="100" w:beforeAutospacing="1" w:after="100" w:afterAutospacing="1" w:line="240" w:lineRule="auto"/>
        <w:jc w:val="both"/>
        <w:rPr>
          <w:rFonts w:ascii="Arial Narrow" w:eastAsia="Times New Roman" w:hAnsi="Arial Narrow" w:cs="Arial"/>
          <w:kern w:val="0"/>
          <w:lang w:eastAsia="es-ES_tradnl"/>
          <w14:ligatures w14:val="none"/>
        </w:rPr>
      </w:pPr>
      <w:r>
        <w:rPr>
          <w:rFonts w:ascii="Arial Narrow" w:eastAsia="Arial Narrow" w:hAnsi="Arial Narrow"/>
        </w:rPr>
        <w:t>Durante la sesión se plantea una consulta relativa a personas que, al momento de postular, se encuentren sometidas a un procedimiento disciplinario pendiente, o que eventualmente sean sancionadas con posterioridad a la declaración de admisibilidad de su candidatura. Se señala preliminarmente que la norma se refiere a haber sido sancionado, y no a encontrarse investigado o sumariado, por lo que se trata de una materia que debe ser interpretada restrictivamente. Sin perjuicio de ello, dada su relevancia jurídica e institucional, se acuerda solicitar pronunciamiento a Contraloría Universitaria respecto del momento en que debe verificarse el requisito y los efectos de una eventual sanción sobreviniente.</w:t>
      </w:r>
    </w:p>
    <w:p w14:paraId="3C667E4B" w14:textId="77777777" w:rsidR="001529C0" w:rsidRDefault="00000000">
      <w:pPr>
        <w:spacing w:before="100" w:beforeAutospacing="1" w:after="100" w:afterAutospacing="1" w:line="240" w:lineRule="auto"/>
        <w:jc w:val="both"/>
        <w:rPr>
          <w:rFonts w:ascii="Arial Narrow" w:eastAsia="Times New Roman" w:hAnsi="Arial Narrow" w:cs="Arial"/>
          <w:kern w:val="0"/>
          <w:lang w:eastAsia="es-ES_tradnl"/>
          <w14:ligatures w14:val="none"/>
        </w:rPr>
      </w:pPr>
      <w:r>
        <w:rPr>
          <w:rFonts w:ascii="Arial Narrow" w:eastAsia="Arial Narrow" w:hAnsi="Arial Narrow"/>
        </w:rPr>
        <w:t>También se plantea la necesidad de aclarar la aplicación de la regla de paridad o equilibrio de género 60/40, especialmente respecto de si opera como criterio de elegibilidad, de resultado o de integración final, así como la forma en que debería interpretarse en casos no previstos expresamente. Se acuerda solicitar pronunciamiento jurídico sobre esta materia, atendida su incidencia en la validación de resultados y en eventuales reemplazos.</w:t>
      </w:r>
    </w:p>
    <w:p w14:paraId="4307CFF9" w14:textId="77777777" w:rsidR="001529C0" w:rsidRDefault="00000000">
      <w:pPr>
        <w:spacing w:before="100" w:beforeAutospacing="1" w:after="100" w:afterAutospacing="1" w:line="240" w:lineRule="auto"/>
        <w:jc w:val="both"/>
        <w:rPr>
          <w:rFonts w:ascii="Arial Narrow" w:eastAsia="Times New Roman" w:hAnsi="Arial Narrow" w:cs="Arial"/>
          <w:kern w:val="0"/>
          <w:lang w:eastAsia="es-ES_tradnl"/>
          <w14:ligatures w14:val="none"/>
        </w:rPr>
      </w:pPr>
      <w:r>
        <w:rPr>
          <w:rFonts w:ascii="Arial Narrow" w:eastAsia="Arial Narrow" w:hAnsi="Arial Narrow"/>
        </w:rPr>
        <w:t xml:space="preserve">Se revisa la etapa de campaña, indicándose que las candidaturas podrán utilizar los medios oficiales que determine la Universidad y que corresponderá al TRICEL resguardar condiciones de equidad en el acceso a dichos medios. Se plantea la conveniencia de contar con apoyo de la Dirección de Comunicaciones, tanto para diseñar una campaña informativa sobre el proceso como </w:t>
      </w:r>
      <w:r>
        <w:rPr>
          <w:rFonts w:ascii="Arial Narrow" w:eastAsia="Arial Narrow" w:hAnsi="Arial Narrow"/>
        </w:rPr>
        <w:lastRenderedPageBreak/>
        <w:t>para asegurar que los mensajes institucionales sean claros, identificables y oportunos para la comunidad universitaria.</w:t>
      </w:r>
    </w:p>
    <w:p w14:paraId="1DC25D4C" w14:textId="77777777" w:rsidR="001529C0" w:rsidRDefault="00000000">
      <w:pPr>
        <w:spacing w:before="100" w:beforeAutospacing="1" w:after="100" w:afterAutospacing="1" w:line="240" w:lineRule="auto"/>
        <w:jc w:val="both"/>
        <w:rPr>
          <w:rFonts w:ascii="Arial Narrow" w:eastAsia="Times New Roman" w:hAnsi="Arial Narrow" w:cs="Arial"/>
          <w:kern w:val="0"/>
          <w:lang w:eastAsia="es-ES_tradnl"/>
          <w14:ligatures w14:val="none"/>
        </w:rPr>
      </w:pPr>
      <w:r>
        <w:rPr>
          <w:rFonts w:ascii="Arial Narrow" w:eastAsia="Arial Narrow" w:hAnsi="Arial Narrow"/>
        </w:rPr>
        <w:t>En este sentido, el Secretario General sugiere citar a la Directora de Comunicaciones a la próxima sesión, con el objeto de abordar el plan comunicacional del proceso, la identidad gráfica o comunicacional del TRICEL, los canales de difusión, los recordatorios a la comunidad y la forma en que se informarán los hitos principales del procedimiento. El TRICEL manifiesta su conformidad con dicha propuesta.</w:t>
      </w:r>
    </w:p>
    <w:p w14:paraId="4481FE48" w14:textId="77777777" w:rsidR="001529C0" w:rsidRDefault="00000000">
      <w:pPr>
        <w:spacing w:before="100" w:beforeAutospacing="1" w:after="100" w:afterAutospacing="1" w:line="240" w:lineRule="auto"/>
        <w:jc w:val="both"/>
        <w:rPr>
          <w:rFonts w:ascii="Arial Narrow" w:eastAsia="Times New Roman" w:hAnsi="Arial Narrow" w:cs="Arial"/>
          <w:kern w:val="0"/>
          <w:lang w:eastAsia="es-ES_tradnl"/>
          <w14:ligatures w14:val="none"/>
        </w:rPr>
      </w:pPr>
      <w:r>
        <w:rPr>
          <w:rFonts w:ascii="Arial Narrow" w:eastAsia="Arial Narrow" w:hAnsi="Arial Narrow"/>
        </w:rPr>
        <w:t>Se revisa la modalidad de votación, señalándose que la normativa contempla la votación electrónica a través de la plataforma institucional. Durante la sesión se plantean dudas sobre la capacidad técnica del sistema, considerando el eventual volumen de personas habilitadas para votar. Se indica que, si bien la Universidad ha desarrollado procesos de votación electrónica con anterioridad, resulta conveniente contar con información técnica de la Dirección de Informática respecto de la capacidad de la plataforma, condiciones de operación, soporte y eventuales resguardos. En consecuencia, se acuerda solicitar la participación de la Dirección de Informática en la próxima sesión, con el objeto de aclarar dichas materias.</w:t>
      </w:r>
    </w:p>
    <w:p w14:paraId="4A04E98C" w14:textId="77777777" w:rsidR="001529C0" w:rsidRDefault="00000000">
      <w:pPr>
        <w:spacing w:before="100" w:beforeAutospacing="1" w:after="100" w:afterAutospacing="1" w:line="240" w:lineRule="auto"/>
        <w:jc w:val="both"/>
        <w:rPr>
          <w:rFonts w:ascii="Arial Narrow" w:eastAsia="Times New Roman" w:hAnsi="Arial Narrow" w:cs="Arial"/>
          <w:kern w:val="0"/>
          <w:lang w:eastAsia="es-ES_tradnl"/>
          <w14:ligatures w14:val="none"/>
        </w:rPr>
      </w:pPr>
      <w:r>
        <w:rPr>
          <w:rFonts w:ascii="Arial Narrow" w:eastAsia="Arial Narrow" w:hAnsi="Arial Narrow"/>
        </w:rPr>
        <w:t>Se conversa asimismo sobre la eventual exigencia de quórum mínimo de participación para la validez de la elección. Se deja constancia de que la normativa aplicable no establece expresamente un quórum mínimo de participación. Sin perjuicio de ello, se plantea la necesidad de analizar los efectos que podría tener una baja participación o la eventual falta de cobertura de todos los cupos previstos para la Comisión Triestamental. Atendida la relevancia de esta materia, se acuerda solicitar pronunciamiento jurídico antes de adoptar una decisión interpretativa.</w:t>
      </w:r>
    </w:p>
    <w:p w14:paraId="39806E16" w14:textId="77777777" w:rsidR="001529C0" w:rsidRDefault="00000000">
      <w:pPr>
        <w:spacing w:before="100" w:beforeAutospacing="1" w:after="100" w:afterAutospacing="1" w:line="240" w:lineRule="auto"/>
        <w:jc w:val="both"/>
        <w:rPr>
          <w:rFonts w:ascii="Arial Narrow" w:eastAsia="Times New Roman" w:hAnsi="Arial Narrow" w:cs="Arial"/>
          <w:kern w:val="0"/>
          <w:lang w:eastAsia="es-ES_tradnl"/>
          <w14:ligatures w14:val="none"/>
        </w:rPr>
      </w:pPr>
      <w:r>
        <w:rPr>
          <w:rFonts w:ascii="Arial Narrow" w:eastAsia="Arial Narrow" w:hAnsi="Arial Narrow"/>
        </w:rPr>
        <w:t>Se informa que Secretaría General gestionó la creación del correo electrónico institucional del TRICEL, el cual fue remitido al Presidente del Tribunal con la correspondiente clave de acceso. Se sugiere que dicho correo sea utilizado como canal formal de comunicación del TRICEL durante el desarrollo del proceso.</w:t>
      </w:r>
    </w:p>
    <w:p w14:paraId="0F0C0DBF" w14:textId="77777777" w:rsidR="001529C0" w:rsidRDefault="00000000">
      <w:pPr>
        <w:spacing w:before="100" w:beforeAutospacing="1" w:after="100" w:afterAutospacing="1" w:line="240" w:lineRule="auto"/>
        <w:jc w:val="both"/>
        <w:rPr>
          <w:rFonts w:ascii="Arial Narrow" w:eastAsia="Times New Roman" w:hAnsi="Arial Narrow" w:cs="Arial"/>
          <w:kern w:val="0"/>
          <w:lang w:eastAsia="es-ES_tradnl"/>
          <w14:ligatures w14:val="none"/>
        </w:rPr>
      </w:pPr>
      <w:r>
        <w:rPr>
          <w:rFonts w:ascii="Arial Narrow" w:eastAsia="Arial Narrow" w:hAnsi="Arial Narrow"/>
        </w:rPr>
        <w:t>En relación con la confección de actas, el Secretario General informa que se está utilizando una modalidad similar a la empleada en otros órganos colegiados de la Universidad, consistente en grabar la sesión como respaldo para la elaboración del acta. Se indica que, ordinariamente, una vez aprobada el acta, el audio deja de utilizarse como antecedente de trabajo, atendido que el instrumento oficial es el acta aprobada. No obstante, durante la sesión se propone conservar los audios hasta el término del proceso del TRICEL, como respaldo adicional y acotado al desarrollo de sus funciones.</w:t>
      </w:r>
    </w:p>
    <w:p w14:paraId="5C78245D" w14:textId="77777777" w:rsidR="001529C0" w:rsidRDefault="00000000">
      <w:pPr>
        <w:spacing w:before="100" w:beforeAutospacing="1" w:after="100" w:afterAutospacing="1" w:line="240" w:lineRule="auto"/>
        <w:jc w:val="both"/>
        <w:rPr>
          <w:rFonts w:ascii="Arial Narrow" w:eastAsia="Times New Roman" w:hAnsi="Arial Narrow" w:cs="Arial"/>
          <w:kern w:val="0"/>
          <w:lang w:eastAsia="es-ES_tradnl"/>
          <w14:ligatures w14:val="none"/>
        </w:rPr>
      </w:pPr>
      <w:r>
        <w:rPr>
          <w:rFonts w:ascii="Arial Narrow" w:eastAsia="Arial Narrow" w:hAnsi="Arial Narrow"/>
        </w:rPr>
        <w:t>Luego de deliberar sobre la materia, se acuerda conservar los audios de las sesiones hasta el término del proceso del TRICEL, sin perjuicio de dejar expresa constancia de que el documento oficial de registro de las deliberaciones y acuerdos será siempre el acta aprobada por el Tribunal.</w:t>
      </w:r>
    </w:p>
    <w:p w14:paraId="0817E4AC" w14:textId="77777777" w:rsidR="001529C0" w:rsidRDefault="00000000">
      <w:pPr>
        <w:spacing w:before="100" w:beforeAutospacing="1" w:after="100" w:afterAutospacing="1" w:line="240" w:lineRule="auto"/>
        <w:jc w:val="both"/>
        <w:rPr>
          <w:rFonts w:ascii="Arial Narrow" w:eastAsia="Times New Roman" w:hAnsi="Arial Narrow" w:cs="Arial"/>
          <w:kern w:val="0"/>
          <w:lang w:eastAsia="es-ES_tradnl"/>
          <w14:ligatures w14:val="none"/>
        </w:rPr>
      </w:pPr>
      <w:r>
        <w:rPr>
          <w:rFonts w:ascii="Arial Narrow" w:eastAsia="Arial Narrow" w:hAnsi="Arial Narrow"/>
        </w:rPr>
        <w:t>Finalmente, se acuerda que Secretaría General reiterará formalmente la solicitud de nóminas o padrones a las unidades competentes, haciendo presente la necesidad de contar con dichos antecedentes antes de la próxima sesión ordinaria. Asimismo, se acuerda que el Secretario General gestionará la citación de representantes de la Dirección de Comunicaciones y de la Dirección de Informática para la próxima sesión, a fin de abordar los aspectos comunicacionales y técnicos del proceso.</w:t>
      </w:r>
    </w:p>
    <w:p w14:paraId="17AC48A5" w14:textId="77777777" w:rsidR="001529C0" w:rsidRDefault="00000000">
      <w:pPr>
        <w:spacing w:before="100" w:beforeAutospacing="1" w:after="100" w:afterAutospacing="1" w:line="240" w:lineRule="auto"/>
        <w:jc w:val="both"/>
        <w:rPr>
          <w:rFonts w:ascii="Arial Narrow" w:eastAsia="Times New Roman" w:hAnsi="Arial Narrow" w:cs="Arial"/>
          <w:kern w:val="0"/>
          <w:lang w:eastAsia="es-ES_tradnl"/>
          <w14:ligatures w14:val="none"/>
        </w:rPr>
      </w:pPr>
      <w:r>
        <w:rPr>
          <w:rFonts w:ascii="Arial Narrow" w:eastAsia="Arial Narrow" w:hAnsi="Arial Narrow"/>
        </w:rPr>
        <w:lastRenderedPageBreak/>
        <w:t>Se deja constancia de que, por corresponder el jueves siguiente a un día feriado, no se realizará sesión ordinaria en dicha fecha, debiendo reanudarse el funcionamiento ordinario del TRICEL en la sesión siguiente, sin perjuicio de las comunicaciones o gestiones preparatorias que puedan realizarse por los canales formales del Tribunal.</w:t>
      </w:r>
    </w:p>
    <w:p w14:paraId="476B9139" w14:textId="77777777" w:rsidR="001529C0" w:rsidRDefault="00000000">
      <w:pPr>
        <w:spacing w:before="100" w:beforeAutospacing="1" w:after="100" w:afterAutospacing="1" w:line="240" w:lineRule="auto"/>
        <w:jc w:val="both"/>
        <w:rPr>
          <w:rFonts w:ascii="Arial Narrow" w:eastAsia="Times New Roman" w:hAnsi="Arial Narrow" w:cs="Arial"/>
          <w:kern w:val="0"/>
          <w:lang w:eastAsia="es-ES_tradnl"/>
          <w14:ligatures w14:val="none"/>
        </w:rPr>
      </w:pPr>
      <w:r>
        <w:rPr>
          <w:rFonts w:ascii="Arial Narrow" w:eastAsia="Arial Narrow" w:hAnsi="Arial Narrow"/>
        </w:rPr>
        <w:t>Se acuerda que, para la próxima sesión, se abordarán al menos las siguientes materias: revisión del estado de las nóminas o padrones electorales, definición preliminar del calendario del proceso una vez conocidos dichos antecedentes, revisión de las consultas jurídicas pendientes, coordinación con la Dirección de Comunicaciones para la difusión del proceso, coordinación con la Dirección de Informática para la votación electrónica y determinación de los próximos hitos administrativos del proceso electoral.</w:t>
      </w:r>
    </w:p>
    <w:p w14:paraId="04AF02CA" w14:textId="77777777" w:rsidR="001529C0" w:rsidRDefault="00000000">
      <w:pPr>
        <w:spacing w:before="100" w:beforeAutospacing="1" w:after="100" w:afterAutospacing="1" w:line="240" w:lineRule="auto"/>
        <w:jc w:val="both"/>
        <w:rPr>
          <w:rFonts w:ascii="Arial Narrow" w:eastAsia="Times New Roman" w:hAnsi="Arial Narrow" w:cs="Arial"/>
          <w:kern w:val="0"/>
          <w:lang w:eastAsia="es-ES_tradnl"/>
          <w14:ligatures w14:val="none"/>
        </w:rPr>
      </w:pPr>
      <w:r>
        <w:rPr>
          <w:rFonts w:ascii="Arial Narrow" w:eastAsia="Arial Narrow" w:hAnsi="Arial Narrow"/>
        </w:rPr>
        <w:t>No habiendo otros puntos que tratar, se levanta la sesión siendo las 13:00 horas.</w:t>
      </w:r>
    </w:p>
    <w:p w14:paraId="490AB302" w14:textId="77777777" w:rsidR="001529C0" w:rsidRDefault="00000000">
      <w:pPr>
        <w:spacing w:before="100" w:beforeAutospacing="1" w:after="100" w:afterAutospacing="1" w:line="240" w:lineRule="auto"/>
        <w:jc w:val="both"/>
        <w:rPr>
          <w:rFonts w:ascii="Arial Narrow" w:eastAsia="Times New Roman" w:hAnsi="Arial Narrow" w:cs="Arial"/>
          <w:kern w:val="0"/>
          <w:lang w:eastAsia="es-ES_tradnl"/>
          <w14:ligatures w14:val="none"/>
        </w:rPr>
      </w:pPr>
      <w:r>
        <w:rPr>
          <w:rFonts w:ascii="Arial Narrow" w:eastAsia="Arial Narrow" w:hAnsi="Arial Narrow"/>
        </w:rPr>
        <w:t>Firman para constancia:</w:t>
      </w:r>
    </w:p>
    <w:p w14:paraId="3A823356" w14:textId="77777777" w:rsidR="001529C0" w:rsidRDefault="001529C0">
      <w:pPr>
        <w:spacing w:before="100" w:beforeAutospacing="1" w:after="100" w:afterAutospacing="1" w:line="240" w:lineRule="auto"/>
        <w:rPr>
          <w:rFonts w:ascii="Arial Narrow" w:eastAsia="Times New Roman" w:hAnsi="Arial Narrow" w:cs="Arial"/>
          <w:kern w:val="0"/>
          <w:lang w:eastAsia="es-ES_tradnl"/>
          <w14:ligatures w14:val="none"/>
        </w:rPr>
      </w:pPr>
    </w:p>
    <w:p w14:paraId="2FF83B64" w14:textId="77777777" w:rsidR="001529C0" w:rsidRDefault="001529C0">
      <w:pPr>
        <w:spacing w:before="100" w:beforeAutospacing="1" w:after="100" w:afterAutospacing="1" w:line="240" w:lineRule="auto"/>
        <w:rPr>
          <w:rFonts w:ascii="Arial Narrow" w:eastAsia="Times New Roman" w:hAnsi="Arial Narrow" w:cs="Arial"/>
          <w:kern w:val="0"/>
          <w:lang w:eastAsia="es-ES_tradnl"/>
          <w14:ligatures w14:val="none"/>
        </w:rPr>
      </w:pPr>
    </w:p>
    <w:p w14:paraId="610B3A4D" w14:textId="77777777" w:rsidR="001529C0" w:rsidRDefault="00000000" w:rsidP="003A39F4">
      <w:pPr>
        <w:spacing w:before="100" w:beforeAutospacing="1" w:after="100" w:afterAutospacing="1" w:line="240" w:lineRule="auto"/>
        <w:jc w:val="center"/>
        <w:rPr>
          <w:rFonts w:ascii="Arial Narrow" w:eastAsia="Times New Roman" w:hAnsi="Arial Narrow" w:cs="Arial"/>
          <w:kern w:val="0"/>
          <w:lang w:eastAsia="es-ES_tradnl"/>
          <w14:ligatures w14:val="none"/>
        </w:rPr>
      </w:pPr>
      <w:r>
        <w:rPr>
          <w:rFonts w:ascii="Arial Narrow" w:eastAsia="Arial Narrow" w:hAnsi="Arial Narrow"/>
        </w:rPr>
        <w:t>Andrés Eduardo Sáez Geoffroy</w:t>
      </w:r>
    </w:p>
    <w:p w14:paraId="06C8870D" w14:textId="77777777" w:rsidR="001529C0" w:rsidRDefault="00000000" w:rsidP="003A39F4">
      <w:pPr>
        <w:spacing w:before="100" w:beforeAutospacing="1" w:after="100" w:afterAutospacing="1" w:line="240" w:lineRule="auto"/>
        <w:jc w:val="center"/>
        <w:rPr>
          <w:rFonts w:ascii="Arial Narrow" w:eastAsia="Times New Roman" w:hAnsi="Arial Narrow" w:cs="Arial"/>
          <w:kern w:val="0"/>
          <w:lang w:eastAsia="es-ES_tradnl"/>
          <w14:ligatures w14:val="none"/>
        </w:rPr>
      </w:pPr>
      <w:r>
        <w:rPr>
          <w:rFonts w:ascii="Arial Narrow" w:eastAsia="Arial Narrow" w:hAnsi="Arial Narrow"/>
        </w:rPr>
        <w:t>Presidente TRICEL</w:t>
      </w:r>
    </w:p>
    <w:p w14:paraId="55F1A07D" w14:textId="77777777" w:rsidR="001529C0" w:rsidRDefault="001529C0" w:rsidP="003A39F4">
      <w:pPr>
        <w:spacing w:before="100" w:beforeAutospacing="1" w:after="100" w:afterAutospacing="1" w:line="240" w:lineRule="auto"/>
        <w:jc w:val="center"/>
        <w:rPr>
          <w:rFonts w:ascii="Arial Narrow" w:eastAsia="Times New Roman" w:hAnsi="Arial Narrow" w:cs="Arial"/>
          <w:kern w:val="0"/>
          <w:lang w:eastAsia="es-ES_tradnl"/>
          <w14:ligatures w14:val="none"/>
        </w:rPr>
      </w:pPr>
    </w:p>
    <w:p w14:paraId="31A6C00A" w14:textId="77777777" w:rsidR="001529C0" w:rsidRDefault="001529C0" w:rsidP="003A39F4">
      <w:pPr>
        <w:spacing w:before="100" w:beforeAutospacing="1" w:after="100" w:afterAutospacing="1" w:line="240" w:lineRule="auto"/>
        <w:jc w:val="center"/>
        <w:rPr>
          <w:rFonts w:ascii="Arial Narrow" w:eastAsia="Times New Roman" w:hAnsi="Arial Narrow" w:cs="Arial"/>
          <w:kern w:val="0"/>
          <w:lang w:eastAsia="es-ES_tradnl"/>
          <w14:ligatures w14:val="none"/>
        </w:rPr>
      </w:pPr>
    </w:p>
    <w:p w14:paraId="6522174C" w14:textId="77777777" w:rsidR="001529C0" w:rsidRDefault="001529C0" w:rsidP="003A39F4">
      <w:pPr>
        <w:spacing w:before="100" w:beforeAutospacing="1" w:after="100" w:afterAutospacing="1" w:line="240" w:lineRule="auto"/>
        <w:jc w:val="center"/>
        <w:rPr>
          <w:rFonts w:ascii="Arial Narrow" w:eastAsia="Times New Roman" w:hAnsi="Arial Narrow" w:cs="Arial"/>
          <w:kern w:val="0"/>
          <w:lang w:eastAsia="es-ES_tradnl"/>
          <w14:ligatures w14:val="none"/>
        </w:rPr>
      </w:pPr>
    </w:p>
    <w:p w14:paraId="67E4AC61" w14:textId="77777777" w:rsidR="001529C0" w:rsidRDefault="00000000" w:rsidP="003A39F4">
      <w:pPr>
        <w:spacing w:before="100" w:beforeAutospacing="1" w:after="100" w:afterAutospacing="1" w:line="240" w:lineRule="auto"/>
        <w:jc w:val="center"/>
        <w:rPr>
          <w:rFonts w:ascii="Arial Narrow" w:eastAsia="Times New Roman" w:hAnsi="Arial Narrow" w:cs="Arial"/>
          <w:kern w:val="0"/>
          <w:lang w:eastAsia="es-ES_tradnl"/>
          <w14:ligatures w14:val="none"/>
        </w:rPr>
      </w:pPr>
      <w:r>
        <w:rPr>
          <w:rFonts w:ascii="Arial Narrow" w:eastAsia="Arial Narrow" w:hAnsi="Arial Narrow"/>
        </w:rPr>
        <w:t>Juan Carlos Guajardo Puga</w:t>
      </w:r>
    </w:p>
    <w:p w14:paraId="4AB5E30C" w14:textId="77777777" w:rsidR="001529C0" w:rsidRDefault="00000000" w:rsidP="003A39F4">
      <w:pPr>
        <w:spacing w:before="100" w:beforeAutospacing="1" w:after="100" w:afterAutospacing="1" w:line="240" w:lineRule="auto"/>
        <w:jc w:val="center"/>
        <w:rPr>
          <w:rFonts w:ascii="Arial Narrow" w:eastAsia="Times New Roman" w:hAnsi="Arial Narrow" w:cs="Arial"/>
          <w:kern w:val="0"/>
          <w:lang w:eastAsia="es-ES_tradnl"/>
          <w14:ligatures w14:val="none"/>
        </w:rPr>
      </w:pPr>
      <w:r>
        <w:rPr>
          <w:rFonts w:ascii="Arial Narrow" w:eastAsia="Arial Narrow" w:hAnsi="Arial Narrow"/>
        </w:rPr>
        <w:t>Secretario General</w:t>
      </w:r>
    </w:p>
    <w:p w14:paraId="3ED42D15" w14:textId="77777777" w:rsidR="001529C0" w:rsidRDefault="00000000" w:rsidP="003A39F4">
      <w:pPr>
        <w:spacing w:before="100" w:beforeAutospacing="1" w:after="100" w:afterAutospacing="1" w:line="240" w:lineRule="auto"/>
        <w:jc w:val="center"/>
        <w:rPr>
          <w:rFonts w:ascii="Arial Narrow" w:eastAsia="Times New Roman" w:hAnsi="Arial Narrow" w:cs="Arial"/>
          <w:kern w:val="0"/>
          <w:lang w:eastAsia="es-ES_tradnl"/>
          <w14:ligatures w14:val="none"/>
        </w:rPr>
      </w:pPr>
      <w:r>
        <w:rPr>
          <w:rFonts w:ascii="Arial Narrow" w:eastAsia="Arial Narrow" w:hAnsi="Arial Narrow"/>
        </w:rPr>
        <w:t>Ministro de fe TRICEL</w:t>
      </w:r>
    </w:p>
    <w:sectPr w:rsidR="001529C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D56FA"/>
    <w:multiLevelType w:val="hybridMultilevel"/>
    <w:tmpl w:val="DB4210E0"/>
    <w:lvl w:ilvl="0" w:tplc="6DCC8C18">
      <w:start w:val="5"/>
      <w:numFmt w:val="bullet"/>
      <w:lvlText w:val="-"/>
      <w:lvlJc w:val="left"/>
      <w:pPr>
        <w:ind w:left="720" w:hanging="360"/>
      </w:pPr>
      <w:rPr>
        <w:rFonts w:ascii="Times New Roman" w:eastAsia="Times New Roman"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361D4437"/>
    <w:multiLevelType w:val="hybridMultilevel"/>
    <w:tmpl w:val="C11833A8"/>
    <w:lvl w:ilvl="0" w:tplc="1F6CB2EE">
      <w:start w:val="5"/>
      <w:numFmt w:val="bullet"/>
      <w:lvlText w:val="-"/>
      <w:lvlJc w:val="left"/>
      <w:pPr>
        <w:ind w:left="720" w:hanging="360"/>
      </w:pPr>
      <w:rPr>
        <w:rFonts w:ascii="Times New Roman" w:eastAsia="Times New Roman"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54D81D93"/>
    <w:multiLevelType w:val="multilevel"/>
    <w:tmpl w:val="B4024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9A5F33"/>
    <w:multiLevelType w:val="hybridMultilevel"/>
    <w:tmpl w:val="8A00915C"/>
    <w:lvl w:ilvl="0" w:tplc="BF90B22A">
      <w:start w:val="5"/>
      <w:numFmt w:val="bullet"/>
      <w:lvlText w:val="-"/>
      <w:lvlJc w:val="left"/>
      <w:pPr>
        <w:ind w:left="720" w:hanging="360"/>
      </w:pPr>
      <w:rPr>
        <w:rFonts w:ascii="Times New Roman" w:eastAsia="Times New Roman"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68CB0AC8"/>
    <w:multiLevelType w:val="hybridMultilevel"/>
    <w:tmpl w:val="FCA621A8"/>
    <w:lvl w:ilvl="0" w:tplc="6DCC8C18">
      <w:start w:val="5"/>
      <w:numFmt w:val="bullet"/>
      <w:lvlText w:val="-"/>
      <w:lvlJc w:val="left"/>
      <w:pPr>
        <w:ind w:left="720" w:hanging="360"/>
      </w:pPr>
      <w:rPr>
        <w:rFonts w:ascii="Times New Roman" w:eastAsia="Times New Roman"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1279147669">
    <w:abstractNumId w:val="2"/>
  </w:num>
  <w:num w:numId="2" w16cid:durableId="406660103">
    <w:abstractNumId w:val="3"/>
  </w:num>
  <w:num w:numId="3" w16cid:durableId="291254066">
    <w:abstractNumId w:val="1"/>
  </w:num>
  <w:num w:numId="4" w16cid:durableId="576283543">
    <w:abstractNumId w:val="4"/>
  </w:num>
  <w:num w:numId="5" w16cid:durableId="757130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6DC"/>
    <w:rsid w:val="001529C0"/>
    <w:rsid w:val="003A301F"/>
    <w:rsid w:val="003A39F4"/>
    <w:rsid w:val="00442143"/>
    <w:rsid w:val="00516FAE"/>
    <w:rsid w:val="006376BF"/>
    <w:rsid w:val="00713658"/>
    <w:rsid w:val="0075614E"/>
    <w:rsid w:val="007F4765"/>
    <w:rsid w:val="0088046C"/>
    <w:rsid w:val="00880BCB"/>
    <w:rsid w:val="00880EF9"/>
    <w:rsid w:val="00957F70"/>
    <w:rsid w:val="00B066DC"/>
    <w:rsid w:val="00C43F8A"/>
    <w:rsid w:val="00DA3DBF"/>
    <w:rsid w:val="00E16717"/>
    <w:rsid w:val="00EE588F"/>
    <w:rsid w:val="00F93954"/>
    <w:rsid w:val="00F96D3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4E46F"/>
  <w15:chartTrackingRefBased/>
  <w15:docId w15:val="{9F06511B-15BB-FA48-A5B4-6F2423727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066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066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066D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066D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066D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066D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066D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066D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066D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066D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066D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066D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066D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066D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066D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066D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066D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066DC"/>
    <w:rPr>
      <w:rFonts w:eastAsiaTheme="majorEastAsia" w:cstheme="majorBidi"/>
      <w:color w:val="272727" w:themeColor="text1" w:themeTint="D8"/>
    </w:rPr>
  </w:style>
  <w:style w:type="paragraph" w:styleId="Ttulo">
    <w:name w:val="Title"/>
    <w:basedOn w:val="Normal"/>
    <w:next w:val="Normal"/>
    <w:link w:val="TtuloCar"/>
    <w:uiPriority w:val="10"/>
    <w:qFormat/>
    <w:rsid w:val="00B066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066D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066D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066D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066DC"/>
    <w:pPr>
      <w:spacing w:before="160"/>
      <w:jc w:val="center"/>
    </w:pPr>
    <w:rPr>
      <w:i/>
      <w:iCs/>
      <w:color w:val="404040" w:themeColor="text1" w:themeTint="BF"/>
    </w:rPr>
  </w:style>
  <w:style w:type="character" w:customStyle="1" w:styleId="CitaCar">
    <w:name w:val="Cita Car"/>
    <w:basedOn w:val="Fuentedeprrafopredeter"/>
    <w:link w:val="Cita"/>
    <w:uiPriority w:val="29"/>
    <w:rsid w:val="00B066DC"/>
    <w:rPr>
      <w:i/>
      <w:iCs/>
      <w:color w:val="404040" w:themeColor="text1" w:themeTint="BF"/>
    </w:rPr>
  </w:style>
  <w:style w:type="paragraph" w:styleId="Prrafodelista">
    <w:name w:val="List Paragraph"/>
    <w:basedOn w:val="Normal"/>
    <w:uiPriority w:val="34"/>
    <w:qFormat/>
    <w:rsid w:val="00B066DC"/>
    <w:pPr>
      <w:ind w:left="720"/>
      <w:contextualSpacing/>
    </w:pPr>
  </w:style>
  <w:style w:type="character" w:styleId="nfasisintenso">
    <w:name w:val="Intense Emphasis"/>
    <w:basedOn w:val="Fuentedeprrafopredeter"/>
    <w:uiPriority w:val="21"/>
    <w:qFormat/>
    <w:rsid w:val="00B066DC"/>
    <w:rPr>
      <w:i/>
      <w:iCs/>
      <w:color w:val="0F4761" w:themeColor="accent1" w:themeShade="BF"/>
    </w:rPr>
  </w:style>
  <w:style w:type="paragraph" w:styleId="Citadestacada">
    <w:name w:val="Intense Quote"/>
    <w:basedOn w:val="Normal"/>
    <w:next w:val="Normal"/>
    <w:link w:val="CitadestacadaCar"/>
    <w:uiPriority w:val="30"/>
    <w:qFormat/>
    <w:rsid w:val="00B066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066DC"/>
    <w:rPr>
      <w:i/>
      <w:iCs/>
      <w:color w:val="0F4761" w:themeColor="accent1" w:themeShade="BF"/>
    </w:rPr>
  </w:style>
  <w:style w:type="character" w:styleId="Referenciaintensa">
    <w:name w:val="Intense Reference"/>
    <w:basedOn w:val="Fuentedeprrafopredeter"/>
    <w:uiPriority w:val="32"/>
    <w:qFormat/>
    <w:rsid w:val="00B066DC"/>
    <w:rPr>
      <w:b/>
      <w:bCs/>
      <w:smallCaps/>
      <w:color w:val="0F4761" w:themeColor="accent1" w:themeShade="BF"/>
      <w:spacing w:val="5"/>
    </w:rPr>
  </w:style>
  <w:style w:type="paragraph" w:styleId="NormalWeb">
    <w:name w:val="Normal (Web)"/>
    <w:basedOn w:val="Normal"/>
    <w:uiPriority w:val="99"/>
    <w:semiHidden/>
    <w:unhideWhenUsed/>
    <w:rsid w:val="00B066DC"/>
    <w:pPr>
      <w:spacing w:before="100" w:beforeAutospacing="1" w:after="100" w:afterAutospacing="1" w:line="240" w:lineRule="auto"/>
    </w:pPr>
    <w:rPr>
      <w:rFonts w:ascii="Times New Roman" w:eastAsia="Times New Roman" w:hAnsi="Times New Roman" w:cs="Times New Roman"/>
      <w:kern w:val="0"/>
      <w:lang w:eastAsia="es-ES_tradnl"/>
      <w14:ligatures w14:val="none"/>
    </w:rPr>
  </w:style>
  <w:style w:type="character" w:styleId="Fuerte">
    <w:name w:val="Strong"/>
    <w:basedOn w:val="Fuentedeprrafopredeter"/>
    <w:uiPriority w:val="22"/>
    <w:qFormat/>
    <w:rsid w:val="00B066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2775</Words>
  <Characters>15264</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Carlos Guajardo Puga</dc:creator>
  <cp:keywords/>
  <dc:description/>
  <cp:lastModifiedBy>Juan Carlos Guajardo Puga</cp:lastModifiedBy>
  <cp:revision>2</cp:revision>
  <dcterms:created xsi:type="dcterms:W3CDTF">2026-07-23T01:54:00Z</dcterms:created>
  <dcterms:modified xsi:type="dcterms:W3CDTF">2026-07-23T01:54:00Z</dcterms:modified>
</cp:coreProperties>
</file>